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5A96" w14:textId="77777777" w:rsidR="00B232BB" w:rsidRPr="00B232BB" w:rsidRDefault="00B232BB" w:rsidP="00B232BB">
      <w:pPr>
        <w:rPr>
          <w:rFonts w:ascii="Book Antiqua" w:hAnsi="Book Antiqua"/>
          <w:b/>
          <w:bCs/>
          <w:sz w:val="22"/>
          <w:szCs w:val="22"/>
        </w:rPr>
      </w:pPr>
      <w:r w:rsidRPr="00B232BB">
        <w:rPr>
          <w:rFonts w:ascii="Book Antiqua" w:hAnsi="Book Antiqua"/>
          <w:b/>
          <w:bCs/>
          <w:sz w:val="22"/>
          <w:szCs w:val="22"/>
        </w:rPr>
        <w:t>11. DEFINED BENEFIT PENSION PLAN</w:t>
      </w:r>
    </w:p>
    <w:p w14:paraId="7821FBD7" w14:textId="77777777" w:rsidR="00B232BB" w:rsidRPr="00B232BB" w:rsidRDefault="00B232BB" w:rsidP="00B232BB">
      <w:pPr>
        <w:rPr>
          <w:rFonts w:ascii="Book Antiqua" w:hAnsi="Book Antiqua"/>
          <w:b/>
          <w:bCs/>
          <w:sz w:val="22"/>
          <w:szCs w:val="22"/>
        </w:rPr>
      </w:pPr>
    </w:p>
    <w:p w14:paraId="4AC74EA8" w14:textId="77777777" w:rsidR="00B232BB" w:rsidRPr="00B232BB" w:rsidRDefault="00B232BB" w:rsidP="00B232BB">
      <w:pPr>
        <w:rPr>
          <w:rFonts w:ascii="Book Antiqua" w:hAnsi="Book Antiqua"/>
          <w:b/>
          <w:bCs/>
          <w:i/>
          <w:iCs/>
          <w:sz w:val="22"/>
          <w:szCs w:val="22"/>
        </w:rPr>
      </w:pPr>
      <w:r w:rsidRPr="00B232BB">
        <w:rPr>
          <w:rFonts w:ascii="Book Antiqua" w:hAnsi="Book Antiqua"/>
          <w:b/>
          <w:bCs/>
          <w:i/>
          <w:iCs/>
          <w:sz w:val="22"/>
          <w:szCs w:val="22"/>
        </w:rPr>
        <w:t>Plan Description</w:t>
      </w:r>
    </w:p>
    <w:p w14:paraId="5B215DEB" w14:textId="77777777" w:rsidR="00B232BB" w:rsidRPr="00B232BB" w:rsidRDefault="00B232BB" w:rsidP="00B232BB">
      <w:pPr>
        <w:rPr>
          <w:rFonts w:ascii="Book Antiqua" w:hAnsi="Book Antiqua"/>
          <w:b/>
          <w:bCs/>
          <w:sz w:val="22"/>
          <w:szCs w:val="22"/>
        </w:rPr>
      </w:pPr>
    </w:p>
    <w:p w14:paraId="48178EA5" w14:textId="2A1CE6E0" w:rsidR="00516816" w:rsidRDefault="00B232BB" w:rsidP="00B232BB">
      <w:pPr>
        <w:rPr>
          <w:rFonts w:ascii="Book Antiqua" w:hAnsi="Book Antiqua"/>
          <w:sz w:val="22"/>
          <w:szCs w:val="22"/>
        </w:rPr>
      </w:pPr>
      <w:r w:rsidRPr="00B232BB">
        <w:rPr>
          <w:rFonts w:ascii="Book Antiqua" w:hAnsi="Book Antiqua"/>
          <w:sz w:val="22"/>
          <w:szCs w:val="22"/>
        </w:rPr>
        <w:t xml:space="preserve">The Plan is a cost-sharing multiple-employer defined benefit pension plan administered by the California Public Employees’ Retirement System (CalPERS). A full description of the pension plan benefit provisions, assumptions for funding purposes (not accounting purposes) and membership information is listed in the latest Annual Actuarial Valuation Report as of June 30, 2018. This report is a publicly available valuation report that can be obtained at CalPERS’ website under Forms and Publications. All qualified permanent and probationary employees are eligible to participate in the City’s separate Public Safety (police) and Miscellaneous (all other) defined benefit pension plans. Both the Public Safety and Miscellaneous plans are part of the public agency cost-sharing multiple </w:t>
      </w:r>
      <w:proofErr w:type="gramStart"/>
      <w:r w:rsidRPr="00B232BB">
        <w:rPr>
          <w:rFonts w:ascii="Book Antiqua" w:hAnsi="Book Antiqua"/>
          <w:sz w:val="22"/>
          <w:szCs w:val="22"/>
        </w:rPr>
        <w:t>employer</w:t>
      </w:r>
      <w:proofErr w:type="gramEnd"/>
      <w:r w:rsidRPr="00B232BB">
        <w:rPr>
          <w:rFonts w:ascii="Book Antiqua" w:hAnsi="Book Antiqua"/>
          <w:sz w:val="22"/>
          <w:szCs w:val="22"/>
        </w:rPr>
        <w:t xml:space="preserve"> defined benefit pension plan (PERF C), which is administered by CalPERS. PERF C consists of a Safety and Miscellaneous pool (also referred to as “risk pools”), which are comprised of individual employer safety and miscellaneous rate plans, respectively. Benefit provisions under the Plan are established by State statute and City resolution. CalPERS issues publicly available reports that include a full description of the pension plans regarding benefit provisions, assumptions and membership information that can be obtained from CalPERS at 400 Q Street, Sacramento, CA 95811.</w:t>
      </w:r>
    </w:p>
    <w:p w14:paraId="26F8AA31" w14:textId="77777777" w:rsidR="0030406B" w:rsidRDefault="0030406B" w:rsidP="00B232BB">
      <w:pPr>
        <w:rPr>
          <w:rFonts w:ascii="Book Antiqua" w:hAnsi="Book Antiqua"/>
          <w:sz w:val="22"/>
          <w:szCs w:val="22"/>
        </w:rPr>
      </w:pPr>
    </w:p>
    <w:p w14:paraId="5D1EB3B4" w14:textId="77777777" w:rsidR="0030406B" w:rsidRDefault="0030406B" w:rsidP="0030406B">
      <w:pPr>
        <w:spacing w:line="477" w:lineRule="auto"/>
        <w:ind w:right="4720"/>
        <w:rPr>
          <w:sz w:val="20"/>
          <w:szCs w:val="20"/>
        </w:rPr>
      </w:pPr>
      <w:r>
        <w:rPr>
          <w:rFonts w:ascii="Book Antiqua" w:eastAsia="Book Antiqua" w:hAnsi="Book Antiqua" w:cs="Book Antiqua"/>
          <w:b/>
          <w:bCs/>
          <w:i/>
          <w:iCs/>
        </w:rPr>
        <w:t>Benefits Provided</w:t>
      </w:r>
    </w:p>
    <w:p w14:paraId="7DE0E910" w14:textId="77777777" w:rsidR="0030406B" w:rsidRDefault="0030406B" w:rsidP="0030406B">
      <w:pPr>
        <w:spacing w:line="2" w:lineRule="exact"/>
        <w:rPr>
          <w:sz w:val="20"/>
          <w:szCs w:val="20"/>
        </w:rPr>
      </w:pPr>
    </w:p>
    <w:p w14:paraId="71B23817" w14:textId="385A0180" w:rsidR="0030406B" w:rsidRDefault="0030406B" w:rsidP="0030406B">
      <w:pPr>
        <w:rPr>
          <w:rFonts w:ascii="Book Antiqua" w:hAnsi="Book Antiqua"/>
          <w:sz w:val="22"/>
          <w:szCs w:val="22"/>
        </w:rPr>
      </w:pPr>
      <w:r>
        <w:rPr>
          <w:rFonts w:ascii="Book Antiqua" w:eastAsia="Book Antiqua" w:hAnsi="Book Antiqua" w:cs="Book Antiqua"/>
          <w:sz w:val="21"/>
          <w:szCs w:val="21"/>
        </w:rPr>
        <w:t xml:space="preserve">CalPERS provides service retirement and disability benefits, annual cost of living adjustments and death benefits to plan members, who must be public employees and beneficiaries. Benefits are based on years of credited service, equal to one year of </w:t>
      </w:r>
      <w:proofErr w:type="gramStart"/>
      <w:r>
        <w:rPr>
          <w:rFonts w:ascii="Book Antiqua" w:eastAsia="Book Antiqua" w:hAnsi="Book Antiqua" w:cs="Book Antiqua"/>
          <w:sz w:val="21"/>
          <w:szCs w:val="21"/>
        </w:rPr>
        <w:t>full time</w:t>
      </w:r>
      <w:proofErr w:type="gramEnd"/>
      <w:r>
        <w:rPr>
          <w:rFonts w:ascii="Book Antiqua" w:eastAsia="Book Antiqua" w:hAnsi="Book Antiqua" w:cs="Book Antiqua"/>
          <w:sz w:val="21"/>
          <w:szCs w:val="21"/>
        </w:rPr>
        <w:t xml:space="preserve"> employment. Members with five years of total service become vested and are eligible to retire at age 50 with statutorily reduced benefits. All members are eligible for non- duty disability benefits after 10 years of service. The death benefit is one of the following: the Basic Death Benefit, the 1957 Survivor Benefit, or the Optional Settlement 2W Death Benefit. The cost of living adjustments for each plan are applied as specified by the Public Employees’ Retirement Law.</w:t>
      </w:r>
    </w:p>
    <w:p w14:paraId="60B111B2" w14:textId="77777777" w:rsidR="00B232BB" w:rsidRPr="00B232BB" w:rsidRDefault="00B232BB" w:rsidP="00B232BB">
      <w:pPr>
        <w:rPr>
          <w:rFonts w:ascii="Book Antiqua" w:hAnsi="Book Antiqua"/>
          <w:sz w:val="22"/>
          <w:szCs w:val="22"/>
        </w:rPr>
      </w:pPr>
    </w:p>
    <w:p w14:paraId="5D0B284A" w14:textId="5E0657E3" w:rsidR="00516816" w:rsidRPr="00B232BB" w:rsidRDefault="00516816">
      <w:pPr>
        <w:rPr>
          <w:rFonts w:ascii="Book Antiqua" w:hAnsi="Book Antiqua"/>
          <w:b/>
          <w:bCs/>
          <w:i/>
          <w:iCs/>
          <w:sz w:val="22"/>
          <w:szCs w:val="22"/>
        </w:rPr>
      </w:pPr>
      <w:r w:rsidRPr="00B232BB">
        <w:rPr>
          <w:rFonts w:ascii="Book Antiqua" w:hAnsi="Book Antiqua"/>
          <w:b/>
          <w:bCs/>
          <w:i/>
          <w:iCs/>
          <w:sz w:val="22"/>
          <w:szCs w:val="22"/>
        </w:rPr>
        <w:t>Employees Covered</w:t>
      </w:r>
    </w:p>
    <w:p w14:paraId="30A5F15F" w14:textId="77777777" w:rsidR="00516816" w:rsidRPr="00516816" w:rsidRDefault="00516816">
      <w:pPr>
        <w:rPr>
          <w:rFonts w:ascii="Book Antiqua" w:hAnsi="Book Antiqua"/>
          <w:sz w:val="22"/>
          <w:szCs w:val="22"/>
        </w:rPr>
      </w:pPr>
    </w:p>
    <w:p w14:paraId="7E04DE82" w14:textId="3F4FDCD1" w:rsidR="00516816" w:rsidRPr="00516816" w:rsidRDefault="00516816">
      <w:pPr>
        <w:rPr>
          <w:rFonts w:ascii="Book Antiqua" w:hAnsi="Book Antiqua"/>
          <w:sz w:val="22"/>
          <w:szCs w:val="22"/>
        </w:rPr>
      </w:pPr>
      <w:proofErr w:type="gramStart"/>
      <w:r w:rsidRPr="00516816">
        <w:rPr>
          <w:rFonts w:ascii="Book Antiqua" w:hAnsi="Book Antiqua"/>
          <w:sz w:val="22"/>
          <w:szCs w:val="22"/>
        </w:rPr>
        <w:t>At</w:t>
      </w:r>
      <w:proofErr w:type="gramEnd"/>
      <w:r w:rsidRPr="00516816">
        <w:rPr>
          <w:rFonts w:ascii="Book Antiqua" w:hAnsi="Book Antiqua"/>
          <w:sz w:val="22"/>
          <w:szCs w:val="22"/>
        </w:rPr>
        <w:t xml:space="preserve"> June 30, 2022 the following employees were covered by the benefit terms for each plan:</w:t>
      </w:r>
    </w:p>
    <w:p w14:paraId="79EC86DD" w14:textId="77777777" w:rsidR="00516816" w:rsidRPr="00516816" w:rsidRDefault="00516816">
      <w:pPr>
        <w:rPr>
          <w:rFonts w:ascii="Book Antiqua" w:hAnsi="Book Antiqua"/>
          <w:sz w:val="22"/>
          <w:szCs w:val="22"/>
        </w:rPr>
      </w:pPr>
    </w:p>
    <w:tbl>
      <w:tblPr>
        <w:tblStyle w:val="TableGrid"/>
        <w:tblW w:w="0" w:type="auto"/>
        <w:tblLook w:val="04A0" w:firstRow="1" w:lastRow="0" w:firstColumn="1" w:lastColumn="0" w:noHBand="0" w:noVBand="1"/>
      </w:tblPr>
      <w:tblGrid>
        <w:gridCol w:w="2425"/>
        <w:gridCol w:w="1080"/>
        <w:gridCol w:w="1281"/>
        <w:gridCol w:w="1141"/>
        <w:gridCol w:w="1141"/>
        <w:gridCol w:w="1141"/>
        <w:gridCol w:w="1141"/>
      </w:tblGrid>
      <w:tr w:rsidR="0036049D" w:rsidRPr="00516816" w14:paraId="1179009F" w14:textId="47E681BF" w:rsidTr="00031B01">
        <w:tc>
          <w:tcPr>
            <w:tcW w:w="2425" w:type="dxa"/>
          </w:tcPr>
          <w:p w14:paraId="42B85D95" w14:textId="77777777" w:rsidR="0036049D" w:rsidRPr="00516816" w:rsidRDefault="0036049D">
            <w:pPr>
              <w:rPr>
                <w:rFonts w:ascii="Book Antiqua" w:hAnsi="Book Antiqua"/>
                <w:sz w:val="22"/>
                <w:szCs w:val="22"/>
              </w:rPr>
            </w:pPr>
          </w:p>
        </w:tc>
        <w:tc>
          <w:tcPr>
            <w:tcW w:w="1080" w:type="dxa"/>
          </w:tcPr>
          <w:p w14:paraId="35EAF2FF" w14:textId="32E86B56" w:rsidR="0036049D" w:rsidRPr="00516816" w:rsidRDefault="0036049D">
            <w:pPr>
              <w:rPr>
                <w:rFonts w:ascii="Book Antiqua" w:hAnsi="Book Antiqua"/>
                <w:b/>
                <w:bCs/>
                <w:sz w:val="22"/>
                <w:szCs w:val="22"/>
              </w:rPr>
            </w:pPr>
            <w:r w:rsidRPr="00516816">
              <w:rPr>
                <w:rFonts w:ascii="Book Antiqua" w:hAnsi="Book Antiqua"/>
                <w:b/>
                <w:bCs/>
                <w:sz w:val="22"/>
                <w:szCs w:val="22"/>
              </w:rPr>
              <w:t>Misc. Tier I</w:t>
            </w:r>
          </w:p>
        </w:tc>
        <w:tc>
          <w:tcPr>
            <w:tcW w:w="1281" w:type="dxa"/>
          </w:tcPr>
          <w:p w14:paraId="4DA9BF95" w14:textId="097A8383" w:rsidR="0036049D" w:rsidRPr="00516816" w:rsidRDefault="0036049D">
            <w:pPr>
              <w:rPr>
                <w:rFonts w:ascii="Book Antiqua" w:hAnsi="Book Antiqua"/>
                <w:b/>
                <w:bCs/>
                <w:sz w:val="22"/>
                <w:szCs w:val="22"/>
              </w:rPr>
            </w:pPr>
            <w:r w:rsidRPr="00516816">
              <w:rPr>
                <w:rFonts w:ascii="Book Antiqua" w:hAnsi="Book Antiqua"/>
                <w:b/>
                <w:bCs/>
                <w:sz w:val="22"/>
                <w:szCs w:val="22"/>
              </w:rPr>
              <w:t>Misc. Tier II</w:t>
            </w:r>
          </w:p>
        </w:tc>
        <w:tc>
          <w:tcPr>
            <w:tcW w:w="1141" w:type="dxa"/>
          </w:tcPr>
          <w:p w14:paraId="7DE0BE16" w14:textId="3C5840BE" w:rsidR="0036049D" w:rsidRPr="00516816" w:rsidRDefault="0036049D">
            <w:pPr>
              <w:rPr>
                <w:rFonts w:ascii="Book Antiqua" w:hAnsi="Book Antiqua"/>
                <w:b/>
                <w:bCs/>
                <w:sz w:val="22"/>
                <w:szCs w:val="22"/>
              </w:rPr>
            </w:pPr>
            <w:r w:rsidRPr="00516816">
              <w:rPr>
                <w:rFonts w:ascii="Book Antiqua" w:hAnsi="Book Antiqua"/>
                <w:b/>
                <w:bCs/>
                <w:sz w:val="22"/>
                <w:szCs w:val="22"/>
              </w:rPr>
              <w:t>Misc. PEPRA</w:t>
            </w:r>
          </w:p>
        </w:tc>
        <w:tc>
          <w:tcPr>
            <w:tcW w:w="1141" w:type="dxa"/>
          </w:tcPr>
          <w:p w14:paraId="515898CB" w14:textId="51724EC7" w:rsidR="0036049D" w:rsidRPr="00516816" w:rsidRDefault="0036049D">
            <w:pPr>
              <w:rPr>
                <w:rFonts w:ascii="Book Antiqua" w:hAnsi="Book Antiqua"/>
                <w:b/>
                <w:bCs/>
                <w:sz w:val="22"/>
                <w:szCs w:val="22"/>
              </w:rPr>
            </w:pPr>
            <w:r w:rsidRPr="00516816">
              <w:rPr>
                <w:rFonts w:ascii="Book Antiqua" w:hAnsi="Book Antiqua"/>
                <w:b/>
                <w:bCs/>
                <w:sz w:val="22"/>
                <w:szCs w:val="22"/>
              </w:rPr>
              <w:t>Safety Tier I</w:t>
            </w:r>
          </w:p>
        </w:tc>
        <w:tc>
          <w:tcPr>
            <w:tcW w:w="1141" w:type="dxa"/>
          </w:tcPr>
          <w:p w14:paraId="5C01AB7E" w14:textId="171CE36F" w:rsidR="0036049D" w:rsidRPr="00516816" w:rsidRDefault="0036049D">
            <w:pPr>
              <w:rPr>
                <w:rFonts w:ascii="Book Antiqua" w:hAnsi="Book Antiqua"/>
                <w:b/>
                <w:bCs/>
                <w:sz w:val="22"/>
                <w:szCs w:val="22"/>
              </w:rPr>
            </w:pPr>
            <w:r w:rsidRPr="00516816">
              <w:rPr>
                <w:rFonts w:ascii="Book Antiqua" w:hAnsi="Book Antiqua"/>
                <w:b/>
                <w:bCs/>
                <w:sz w:val="22"/>
                <w:szCs w:val="22"/>
              </w:rPr>
              <w:t>Safety Tier II</w:t>
            </w:r>
          </w:p>
        </w:tc>
        <w:tc>
          <w:tcPr>
            <w:tcW w:w="1141" w:type="dxa"/>
          </w:tcPr>
          <w:p w14:paraId="710C565F" w14:textId="5B757455" w:rsidR="0036049D" w:rsidRPr="00516816" w:rsidRDefault="0036049D">
            <w:pPr>
              <w:rPr>
                <w:rFonts w:ascii="Book Antiqua" w:hAnsi="Book Antiqua"/>
                <w:b/>
                <w:bCs/>
                <w:sz w:val="22"/>
                <w:szCs w:val="22"/>
              </w:rPr>
            </w:pPr>
            <w:r w:rsidRPr="00516816">
              <w:rPr>
                <w:rFonts w:ascii="Book Antiqua" w:hAnsi="Book Antiqua"/>
                <w:b/>
                <w:bCs/>
                <w:sz w:val="22"/>
                <w:szCs w:val="22"/>
              </w:rPr>
              <w:t>Safety PEPRA</w:t>
            </w:r>
          </w:p>
        </w:tc>
      </w:tr>
      <w:tr w:rsidR="0036049D" w:rsidRPr="00516816" w14:paraId="6A39209C" w14:textId="015A807D" w:rsidTr="00031B01">
        <w:tc>
          <w:tcPr>
            <w:tcW w:w="2425" w:type="dxa"/>
          </w:tcPr>
          <w:p w14:paraId="6A19A163" w14:textId="2BBC9D50" w:rsidR="0036049D" w:rsidRPr="00516816" w:rsidRDefault="0036049D">
            <w:pPr>
              <w:rPr>
                <w:rFonts w:ascii="Book Antiqua" w:hAnsi="Book Antiqua"/>
                <w:sz w:val="22"/>
                <w:szCs w:val="22"/>
              </w:rPr>
            </w:pPr>
            <w:r w:rsidRPr="00516816">
              <w:rPr>
                <w:rFonts w:ascii="Book Antiqua" w:eastAsia="Book Antiqua" w:hAnsi="Book Antiqua" w:cs="Book Antiqua"/>
                <w:sz w:val="22"/>
                <w:szCs w:val="22"/>
              </w:rPr>
              <w:t>Inactive employees (or their beneficiaries) currently receiving benefits</w:t>
            </w:r>
          </w:p>
        </w:tc>
        <w:tc>
          <w:tcPr>
            <w:tcW w:w="1080" w:type="dxa"/>
          </w:tcPr>
          <w:p w14:paraId="745133B2" w14:textId="79D7410D" w:rsidR="0036049D" w:rsidRPr="00516816" w:rsidRDefault="0036049D">
            <w:pPr>
              <w:rPr>
                <w:rFonts w:ascii="Book Antiqua" w:hAnsi="Book Antiqua"/>
                <w:sz w:val="22"/>
                <w:szCs w:val="22"/>
              </w:rPr>
            </w:pPr>
            <w:commentRangeStart w:id="0"/>
            <w:r w:rsidRPr="00516816">
              <w:rPr>
                <w:rFonts w:ascii="Book Antiqua" w:hAnsi="Book Antiqua"/>
                <w:sz w:val="22"/>
                <w:szCs w:val="22"/>
              </w:rPr>
              <w:t>27</w:t>
            </w:r>
            <w:commentRangeEnd w:id="0"/>
            <w:r w:rsidRPr="00516816">
              <w:rPr>
                <w:rStyle w:val="CommentReference"/>
                <w:rFonts w:ascii="Book Antiqua" w:hAnsi="Book Antiqua"/>
                <w:sz w:val="22"/>
                <w:szCs w:val="22"/>
              </w:rPr>
              <w:commentReference w:id="0"/>
            </w:r>
          </w:p>
        </w:tc>
        <w:tc>
          <w:tcPr>
            <w:tcW w:w="1281" w:type="dxa"/>
          </w:tcPr>
          <w:p w14:paraId="7AD7C3F2" w14:textId="40D99107" w:rsidR="0036049D" w:rsidRPr="00516816" w:rsidRDefault="00B665CD">
            <w:pPr>
              <w:rPr>
                <w:rFonts w:ascii="Book Antiqua" w:hAnsi="Book Antiqua"/>
                <w:sz w:val="22"/>
                <w:szCs w:val="22"/>
              </w:rPr>
            </w:pPr>
            <w:commentRangeStart w:id="1"/>
            <w:r w:rsidRPr="00516816">
              <w:rPr>
                <w:rFonts w:ascii="Book Antiqua" w:hAnsi="Book Antiqua"/>
                <w:sz w:val="22"/>
                <w:szCs w:val="22"/>
              </w:rPr>
              <w:t>7</w:t>
            </w:r>
            <w:commentRangeEnd w:id="1"/>
            <w:r w:rsidRPr="00516816">
              <w:rPr>
                <w:rStyle w:val="CommentReference"/>
                <w:rFonts w:ascii="Book Antiqua" w:hAnsi="Book Antiqua"/>
                <w:sz w:val="22"/>
                <w:szCs w:val="22"/>
              </w:rPr>
              <w:commentReference w:id="1"/>
            </w:r>
          </w:p>
        </w:tc>
        <w:tc>
          <w:tcPr>
            <w:tcW w:w="1141" w:type="dxa"/>
          </w:tcPr>
          <w:p w14:paraId="5ED7FBC6" w14:textId="759D96E7" w:rsidR="0036049D" w:rsidRPr="00516816" w:rsidRDefault="00B665CD">
            <w:pPr>
              <w:rPr>
                <w:rFonts w:ascii="Book Antiqua" w:hAnsi="Book Antiqua"/>
                <w:sz w:val="22"/>
                <w:szCs w:val="22"/>
              </w:rPr>
            </w:pPr>
            <w:commentRangeStart w:id="2"/>
            <w:r w:rsidRPr="00516816">
              <w:rPr>
                <w:rFonts w:ascii="Book Antiqua" w:hAnsi="Book Antiqua"/>
                <w:sz w:val="22"/>
                <w:szCs w:val="22"/>
              </w:rPr>
              <w:t>1</w:t>
            </w:r>
            <w:commentRangeEnd w:id="2"/>
            <w:r w:rsidRPr="00516816">
              <w:rPr>
                <w:rStyle w:val="CommentReference"/>
                <w:rFonts w:ascii="Book Antiqua" w:hAnsi="Book Antiqua"/>
                <w:sz w:val="22"/>
                <w:szCs w:val="22"/>
              </w:rPr>
              <w:commentReference w:id="2"/>
            </w:r>
          </w:p>
        </w:tc>
        <w:tc>
          <w:tcPr>
            <w:tcW w:w="1141" w:type="dxa"/>
          </w:tcPr>
          <w:p w14:paraId="14AA17A0" w14:textId="23680FC2" w:rsidR="0036049D" w:rsidRPr="00516816" w:rsidRDefault="00B665CD">
            <w:pPr>
              <w:rPr>
                <w:rFonts w:ascii="Book Antiqua" w:hAnsi="Book Antiqua"/>
                <w:sz w:val="22"/>
                <w:szCs w:val="22"/>
              </w:rPr>
            </w:pPr>
            <w:commentRangeStart w:id="3"/>
            <w:r w:rsidRPr="00516816">
              <w:rPr>
                <w:rFonts w:ascii="Book Antiqua" w:hAnsi="Book Antiqua"/>
                <w:sz w:val="22"/>
                <w:szCs w:val="22"/>
              </w:rPr>
              <w:t>28</w:t>
            </w:r>
            <w:commentRangeEnd w:id="3"/>
            <w:r w:rsidR="003940D2" w:rsidRPr="00516816">
              <w:rPr>
                <w:rStyle w:val="CommentReference"/>
                <w:rFonts w:ascii="Book Antiqua" w:hAnsi="Book Antiqua"/>
                <w:sz w:val="22"/>
                <w:szCs w:val="22"/>
              </w:rPr>
              <w:commentReference w:id="3"/>
            </w:r>
          </w:p>
        </w:tc>
        <w:tc>
          <w:tcPr>
            <w:tcW w:w="1141" w:type="dxa"/>
          </w:tcPr>
          <w:p w14:paraId="38EA4B7C" w14:textId="6A3145EA" w:rsidR="0036049D" w:rsidRPr="00516816" w:rsidRDefault="00B665CD">
            <w:pPr>
              <w:rPr>
                <w:rFonts w:ascii="Book Antiqua" w:hAnsi="Book Antiqua"/>
                <w:sz w:val="22"/>
                <w:szCs w:val="22"/>
              </w:rPr>
            </w:pPr>
            <w:commentRangeStart w:id="4"/>
            <w:r w:rsidRPr="00516816">
              <w:rPr>
                <w:rFonts w:ascii="Book Antiqua" w:hAnsi="Book Antiqua"/>
                <w:sz w:val="22"/>
                <w:szCs w:val="22"/>
              </w:rPr>
              <w:t>7</w:t>
            </w:r>
            <w:commentRangeEnd w:id="4"/>
            <w:r w:rsidR="003940D2" w:rsidRPr="00516816">
              <w:rPr>
                <w:rStyle w:val="CommentReference"/>
                <w:rFonts w:ascii="Book Antiqua" w:hAnsi="Book Antiqua"/>
                <w:sz w:val="22"/>
                <w:szCs w:val="22"/>
              </w:rPr>
              <w:commentReference w:id="4"/>
            </w:r>
          </w:p>
        </w:tc>
        <w:tc>
          <w:tcPr>
            <w:tcW w:w="1141" w:type="dxa"/>
          </w:tcPr>
          <w:p w14:paraId="07FFE633" w14:textId="7F5403F0" w:rsidR="0036049D" w:rsidRPr="00516816" w:rsidRDefault="00B665CD">
            <w:pPr>
              <w:rPr>
                <w:rFonts w:ascii="Book Antiqua" w:hAnsi="Book Antiqua"/>
                <w:sz w:val="22"/>
                <w:szCs w:val="22"/>
              </w:rPr>
            </w:pPr>
            <w:commentRangeStart w:id="5"/>
            <w:r w:rsidRPr="00516816">
              <w:rPr>
                <w:rFonts w:ascii="Book Antiqua" w:hAnsi="Book Antiqua"/>
                <w:sz w:val="22"/>
                <w:szCs w:val="22"/>
              </w:rPr>
              <w:t>1</w:t>
            </w:r>
            <w:commentRangeEnd w:id="5"/>
            <w:r w:rsidR="003940D2" w:rsidRPr="00516816">
              <w:rPr>
                <w:rStyle w:val="CommentReference"/>
                <w:rFonts w:ascii="Book Antiqua" w:hAnsi="Book Antiqua"/>
                <w:sz w:val="22"/>
                <w:szCs w:val="22"/>
              </w:rPr>
              <w:commentReference w:id="5"/>
            </w:r>
          </w:p>
        </w:tc>
      </w:tr>
      <w:tr w:rsidR="00031B01" w:rsidRPr="00516816" w14:paraId="5E0E3C80" w14:textId="77777777" w:rsidTr="0032639A">
        <w:tc>
          <w:tcPr>
            <w:tcW w:w="2425" w:type="dxa"/>
            <w:vAlign w:val="bottom"/>
          </w:tcPr>
          <w:p w14:paraId="4D6452B2" w14:textId="56565932" w:rsidR="00031B01" w:rsidRPr="00516816" w:rsidRDefault="00031B01" w:rsidP="00031B01">
            <w:pPr>
              <w:rPr>
                <w:rFonts w:ascii="Book Antiqua" w:eastAsia="Book Antiqua" w:hAnsi="Book Antiqua" w:cs="Book Antiqua"/>
                <w:sz w:val="22"/>
                <w:szCs w:val="22"/>
              </w:rPr>
            </w:pPr>
            <w:r w:rsidRPr="00516816">
              <w:rPr>
                <w:rFonts w:ascii="Book Antiqua" w:eastAsia="Book Antiqua" w:hAnsi="Book Antiqua" w:cs="Book Antiqua"/>
                <w:sz w:val="22"/>
                <w:szCs w:val="22"/>
              </w:rPr>
              <w:t>Inactive employees entitled to but not yet receiving benefits</w:t>
            </w:r>
          </w:p>
        </w:tc>
        <w:tc>
          <w:tcPr>
            <w:tcW w:w="1080" w:type="dxa"/>
          </w:tcPr>
          <w:p w14:paraId="1CC5681C" w14:textId="67B9C8C2" w:rsidR="00031B01" w:rsidRPr="00516816" w:rsidRDefault="00031B01" w:rsidP="00031B01">
            <w:pPr>
              <w:rPr>
                <w:rFonts w:ascii="Book Antiqua" w:hAnsi="Book Antiqua"/>
                <w:sz w:val="22"/>
                <w:szCs w:val="22"/>
              </w:rPr>
            </w:pPr>
            <w:r w:rsidRPr="00516816">
              <w:rPr>
                <w:rFonts w:ascii="Book Antiqua" w:hAnsi="Book Antiqua"/>
                <w:sz w:val="22"/>
                <w:szCs w:val="22"/>
              </w:rPr>
              <w:t>16</w:t>
            </w:r>
          </w:p>
        </w:tc>
        <w:tc>
          <w:tcPr>
            <w:tcW w:w="1281" w:type="dxa"/>
          </w:tcPr>
          <w:p w14:paraId="5C37ADCC" w14:textId="5D5798A9" w:rsidR="00031B01" w:rsidRPr="00516816" w:rsidRDefault="00031B01" w:rsidP="00031B01">
            <w:pPr>
              <w:rPr>
                <w:rFonts w:ascii="Book Antiqua" w:hAnsi="Book Antiqua"/>
                <w:sz w:val="22"/>
                <w:szCs w:val="22"/>
              </w:rPr>
            </w:pPr>
            <w:r w:rsidRPr="00516816">
              <w:rPr>
                <w:rFonts w:ascii="Book Antiqua" w:hAnsi="Book Antiqua"/>
                <w:sz w:val="22"/>
                <w:szCs w:val="22"/>
              </w:rPr>
              <w:t>5</w:t>
            </w:r>
          </w:p>
        </w:tc>
        <w:tc>
          <w:tcPr>
            <w:tcW w:w="1141" w:type="dxa"/>
          </w:tcPr>
          <w:p w14:paraId="5F134AB7" w14:textId="017ACB22" w:rsidR="00031B01" w:rsidRPr="00516816" w:rsidRDefault="00031B01" w:rsidP="00031B01">
            <w:pPr>
              <w:rPr>
                <w:rFonts w:ascii="Book Antiqua" w:hAnsi="Book Antiqua"/>
                <w:sz w:val="22"/>
                <w:szCs w:val="22"/>
              </w:rPr>
            </w:pPr>
            <w:r w:rsidRPr="00516816">
              <w:rPr>
                <w:rFonts w:ascii="Book Antiqua" w:hAnsi="Book Antiqua"/>
                <w:sz w:val="22"/>
                <w:szCs w:val="22"/>
              </w:rPr>
              <w:t>10</w:t>
            </w:r>
          </w:p>
        </w:tc>
        <w:tc>
          <w:tcPr>
            <w:tcW w:w="1141" w:type="dxa"/>
          </w:tcPr>
          <w:p w14:paraId="022645FF" w14:textId="5C91C73A" w:rsidR="00031B01" w:rsidRPr="00516816" w:rsidRDefault="00031B01" w:rsidP="00031B01">
            <w:pPr>
              <w:rPr>
                <w:rFonts w:ascii="Book Antiqua" w:hAnsi="Book Antiqua"/>
                <w:sz w:val="22"/>
                <w:szCs w:val="22"/>
              </w:rPr>
            </w:pPr>
            <w:r w:rsidRPr="00516816">
              <w:rPr>
                <w:rFonts w:ascii="Book Antiqua" w:hAnsi="Book Antiqua"/>
                <w:sz w:val="22"/>
                <w:szCs w:val="22"/>
              </w:rPr>
              <w:t>10</w:t>
            </w:r>
          </w:p>
        </w:tc>
        <w:tc>
          <w:tcPr>
            <w:tcW w:w="1141" w:type="dxa"/>
          </w:tcPr>
          <w:p w14:paraId="1157F040" w14:textId="5F94F407" w:rsidR="00031B01" w:rsidRPr="00516816" w:rsidRDefault="00031B01" w:rsidP="00031B01">
            <w:pPr>
              <w:rPr>
                <w:rFonts w:ascii="Book Antiqua" w:hAnsi="Book Antiqua"/>
                <w:sz w:val="22"/>
                <w:szCs w:val="22"/>
              </w:rPr>
            </w:pPr>
            <w:r w:rsidRPr="00516816">
              <w:rPr>
                <w:rFonts w:ascii="Book Antiqua" w:hAnsi="Book Antiqua"/>
                <w:sz w:val="22"/>
                <w:szCs w:val="22"/>
              </w:rPr>
              <w:t>2</w:t>
            </w:r>
          </w:p>
        </w:tc>
        <w:tc>
          <w:tcPr>
            <w:tcW w:w="1141" w:type="dxa"/>
          </w:tcPr>
          <w:p w14:paraId="75A88BF5" w14:textId="1406CDDD" w:rsidR="00031B01" w:rsidRPr="00516816" w:rsidRDefault="00031B01" w:rsidP="00031B01">
            <w:pPr>
              <w:rPr>
                <w:rFonts w:ascii="Book Antiqua" w:hAnsi="Book Antiqua"/>
                <w:sz w:val="22"/>
                <w:szCs w:val="22"/>
              </w:rPr>
            </w:pPr>
            <w:r w:rsidRPr="00516816">
              <w:rPr>
                <w:rFonts w:ascii="Book Antiqua" w:hAnsi="Book Antiqua"/>
                <w:sz w:val="22"/>
                <w:szCs w:val="22"/>
              </w:rPr>
              <w:t>12</w:t>
            </w:r>
          </w:p>
        </w:tc>
      </w:tr>
      <w:tr w:rsidR="001849E9" w:rsidRPr="00516816" w14:paraId="5A2C8779" w14:textId="77777777" w:rsidTr="0032639A">
        <w:tc>
          <w:tcPr>
            <w:tcW w:w="2425" w:type="dxa"/>
            <w:vAlign w:val="bottom"/>
          </w:tcPr>
          <w:p w14:paraId="40E0450D" w14:textId="7F73CA57" w:rsidR="001849E9" w:rsidRPr="00516816" w:rsidRDefault="001849E9" w:rsidP="001849E9">
            <w:pPr>
              <w:rPr>
                <w:rFonts w:ascii="Book Antiqua" w:eastAsia="Book Antiqua" w:hAnsi="Book Antiqua" w:cs="Book Antiqua"/>
                <w:sz w:val="22"/>
                <w:szCs w:val="22"/>
              </w:rPr>
            </w:pPr>
            <w:r w:rsidRPr="00516816">
              <w:rPr>
                <w:rFonts w:ascii="Book Antiqua" w:eastAsia="Book Antiqua" w:hAnsi="Book Antiqua" w:cs="Book Antiqua"/>
                <w:sz w:val="22"/>
                <w:szCs w:val="22"/>
              </w:rPr>
              <w:t>Active employees</w:t>
            </w:r>
          </w:p>
        </w:tc>
        <w:tc>
          <w:tcPr>
            <w:tcW w:w="1080" w:type="dxa"/>
          </w:tcPr>
          <w:p w14:paraId="76C5CC2D" w14:textId="58F68D84" w:rsidR="001849E9" w:rsidRPr="00516816" w:rsidRDefault="001849E9" w:rsidP="001849E9">
            <w:pPr>
              <w:rPr>
                <w:rFonts w:ascii="Book Antiqua" w:hAnsi="Book Antiqua"/>
                <w:sz w:val="22"/>
                <w:szCs w:val="22"/>
              </w:rPr>
            </w:pPr>
            <w:r w:rsidRPr="00516816">
              <w:rPr>
                <w:rFonts w:ascii="Book Antiqua" w:hAnsi="Book Antiqua"/>
                <w:sz w:val="22"/>
                <w:szCs w:val="22"/>
              </w:rPr>
              <w:t>3</w:t>
            </w:r>
          </w:p>
        </w:tc>
        <w:tc>
          <w:tcPr>
            <w:tcW w:w="1281" w:type="dxa"/>
          </w:tcPr>
          <w:p w14:paraId="1D36CCFE" w14:textId="059FD866" w:rsidR="001849E9" w:rsidRPr="00516816" w:rsidRDefault="001849E9" w:rsidP="001849E9">
            <w:pPr>
              <w:rPr>
                <w:rFonts w:ascii="Book Antiqua" w:hAnsi="Book Antiqua"/>
                <w:sz w:val="22"/>
                <w:szCs w:val="22"/>
              </w:rPr>
            </w:pPr>
            <w:r w:rsidRPr="00516816">
              <w:rPr>
                <w:rFonts w:ascii="Book Antiqua" w:hAnsi="Book Antiqua"/>
                <w:sz w:val="22"/>
                <w:szCs w:val="22"/>
              </w:rPr>
              <w:t>3</w:t>
            </w:r>
          </w:p>
        </w:tc>
        <w:tc>
          <w:tcPr>
            <w:tcW w:w="1141" w:type="dxa"/>
          </w:tcPr>
          <w:p w14:paraId="5A62DC4D" w14:textId="603D738E" w:rsidR="001849E9" w:rsidRPr="00516816" w:rsidRDefault="001849E9" w:rsidP="001849E9">
            <w:pPr>
              <w:rPr>
                <w:rFonts w:ascii="Book Antiqua" w:hAnsi="Book Antiqua"/>
                <w:sz w:val="22"/>
                <w:szCs w:val="22"/>
              </w:rPr>
            </w:pPr>
            <w:r w:rsidRPr="00516816">
              <w:rPr>
                <w:rFonts w:ascii="Book Antiqua" w:hAnsi="Book Antiqua"/>
                <w:sz w:val="22"/>
                <w:szCs w:val="22"/>
              </w:rPr>
              <w:t>8</w:t>
            </w:r>
          </w:p>
        </w:tc>
        <w:tc>
          <w:tcPr>
            <w:tcW w:w="1141" w:type="dxa"/>
          </w:tcPr>
          <w:p w14:paraId="1DAA6060" w14:textId="3086F8C3" w:rsidR="001849E9" w:rsidRPr="00516816" w:rsidRDefault="001849E9" w:rsidP="001849E9">
            <w:pPr>
              <w:rPr>
                <w:rFonts w:ascii="Book Antiqua" w:hAnsi="Book Antiqua"/>
                <w:sz w:val="22"/>
                <w:szCs w:val="22"/>
              </w:rPr>
            </w:pPr>
            <w:r w:rsidRPr="00516816">
              <w:rPr>
                <w:rFonts w:ascii="Book Antiqua" w:hAnsi="Book Antiqua"/>
                <w:sz w:val="22"/>
                <w:szCs w:val="22"/>
              </w:rPr>
              <w:t>3</w:t>
            </w:r>
          </w:p>
        </w:tc>
        <w:tc>
          <w:tcPr>
            <w:tcW w:w="1141" w:type="dxa"/>
          </w:tcPr>
          <w:p w14:paraId="2C3FF3A8" w14:textId="45021314" w:rsidR="001849E9" w:rsidRPr="00516816" w:rsidRDefault="001849E9" w:rsidP="001849E9">
            <w:pPr>
              <w:rPr>
                <w:rFonts w:ascii="Book Antiqua" w:hAnsi="Book Antiqua"/>
                <w:sz w:val="22"/>
                <w:szCs w:val="22"/>
              </w:rPr>
            </w:pPr>
            <w:r w:rsidRPr="00516816">
              <w:rPr>
                <w:rFonts w:ascii="Book Antiqua" w:hAnsi="Book Antiqua"/>
                <w:sz w:val="22"/>
                <w:szCs w:val="22"/>
              </w:rPr>
              <w:t>0</w:t>
            </w:r>
          </w:p>
        </w:tc>
        <w:tc>
          <w:tcPr>
            <w:tcW w:w="1141" w:type="dxa"/>
          </w:tcPr>
          <w:p w14:paraId="2C733106" w14:textId="7BA2AF9E" w:rsidR="001849E9" w:rsidRPr="00516816" w:rsidRDefault="001849E9" w:rsidP="001849E9">
            <w:pPr>
              <w:rPr>
                <w:rFonts w:ascii="Book Antiqua" w:hAnsi="Book Antiqua"/>
                <w:sz w:val="22"/>
                <w:szCs w:val="22"/>
              </w:rPr>
            </w:pPr>
            <w:r w:rsidRPr="00516816">
              <w:rPr>
                <w:rFonts w:ascii="Book Antiqua" w:hAnsi="Book Antiqua"/>
                <w:sz w:val="22"/>
                <w:szCs w:val="22"/>
              </w:rPr>
              <w:t>7</w:t>
            </w:r>
          </w:p>
        </w:tc>
      </w:tr>
      <w:tr w:rsidR="001849E9" w:rsidRPr="00516816" w14:paraId="7FC3EA3D" w14:textId="77777777" w:rsidTr="0032639A">
        <w:tc>
          <w:tcPr>
            <w:tcW w:w="2425" w:type="dxa"/>
            <w:vAlign w:val="bottom"/>
          </w:tcPr>
          <w:p w14:paraId="20F559CF" w14:textId="166FC573" w:rsidR="001849E9" w:rsidRPr="00516816" w:rsidRDefault="001849E9" w:rsidP="001849E9">
            <w:pPr>
              <w:rPr>
                <w:rFonts w:ascii="Book Antiqua" w:eastAsia="Book Antiqua" w:hAnsi="Book Antiqua" w:cs="Book Antiqua"/>
                <w:sz w:val="22"/>
                <w:szCs w:val="22"/>
              </w:rPr>
            </w:pPr>
            <w:r w:rsidRPr="00516816">
              <w:rPr>
                <w:rFonts w:ascii="Book Antiqua" w:eastAsia="Book Antiqua" w:hAnsi="Book Antiqua" w:cs="Book Antiqua"/>
                <w:sz w:val="22"/>
                <w:szCs w:val="22"/>
              </w:rPr>
              <w:t>Total</w:t>
            </w:r>
          </w:p>
        </w:tc>
        <w:tc>
          <w:tcPr>
            <w:tcW w:w="1080" w:type="dxa"/>
          </w:tcPr>
          <w:p w14:paraId="7F830FFF" w14:textId="4C9E0674" w:rsidR="001849E9" w:rsidRPr="00516816" w:rsidRDefault="001849E9" w:rsidP="001849E9">
            <w:pPr>
              <w:rPr>
                <w:rFonts w:ascii="Book Antiqua" w:hAnsi="Book Antiqua"/>
                <w:sz w:val="22"/>
                <w:szCs w:val="22"/>
              </w:rPr>
            </w:pPr>
            <w:r w:rsidRPr="00516816">
              <w:rPr>
                <w:rFonts w:ascii="Book Antiqua" w:hAnsi="Book Antiqua"/>
                <w:sz w:val="22"/>
                <w:szCs w:val="22"/>
              </w:rPr>
              <w:t>46</w:t>
            </w:r>
          </w:p>
        </w:tc>
        <w:tc>
          <w:tcPr>
            <w:tcW w:w="1281" w:type="dxa"/>
          </w:tcPr>
          <w:p w14:paraId="62099382" w14:textId="362B7145" w:rsidR="001849E9" w:rsidRPr="00516816" w:rsidRDefault="001849E9" w:rsidP="001849E9">
            <w:pPr>
              <w:rPr>
                <w:rFonts w:ascii="Book Antiqua" w:hAnsi="Book Antiqua"/>
                <w:sz w:val="22"/>
                <w:szCs w:val="22"/>
              </w:rPr>
            </w:pPr>
            <w:r w:rsidRPr="00516816">
              <w:rPr>
                <w:rFonts w:ascii="Book Antiqua" w:hAnsi="Book Antiqua"/>
                <w:sz w:val="22"/>
                <w:szCs w:val="22"/>
              </w:rPr>
              <w:t>15</w:t>
            </w:r>
          </w:p>
        </w:tc>
        <w:tc>
          <w:tcPr>
            <w:tcW w:w="1141" w:type="dxa"/>
          </w:tcPr>
          <w:p w14:paraId="246CD565" w14:textId="1699A98A" w:rsidR="001849E9" w:rsidRPr="00516816" w:rsidRDefault="001849E9" w:rsidP="001849E9">
            <w:pPr>
              <w:rPr>
                <w:rFonts w:ascii="Book Antiqua" w:hAnsi="Book Antiqua"/>
                <w:sz w:val="22"/>
                <w:szCs w:val="22"/>
              </w:rPr>
            </w:pPr>
            <w:r w:rsidRPr="00516816">
              <w:rPr>
                <w:rFonts w:ascii="Book Antiqua" w:hAnsi="Book Antiqua"/>
                <w:sz w:val="22"/>
                <w:szCs w:val="22"/>
              </w:rPr>
              <w:t>19</w:t>
            </w:r>
          </w:p>
        </w:tc>
        <w:tc>
          <w:tcPr>
            <w:tcW w:w="1141" w:type="dxa"/>
          </w:tcPr>
          <w:p w14:paraId="7E433E22" w14:textId="0D942296" w:rsidR="001849E9" w:rsidRPr="00516816" w:rsidRDefault="001849E9" w:rsidP="001849E9">
            <w:pPr>
              <w:rPr>
                <w:rFonts w:ascii="Book Antiqua" w:hAnsi="Book Antiqua"/>
                <w:sz w:val="22"/>
                <w:szCs w:val="22"/>
              </w:rPr>
            </w:pPr>
            <w:r w:rsidRPr="00516816">
              <w:rPr>
                <w:rFonts w:ascii="Book Antiqua" w:hAnsi="Book Antiqua"/>
                <w:sz w:val="22"/>
                <w:szCs w:val="22"/>
              </w:rPr>
              <w:t>41</w:t>
            </w:r>
          </w:p>
        </w:tc>
        <w:tc>
          <w:tcPr>
            <w:tcW w:w="1141" w:type="dxa"/>
          </w:tcPr>
          <w:p w14:paraId="74B39243" w14:textId="2B1C2785" w:rsidR="001849E9" w:rsidRPr="00516816" w:rsidRDefault="001849E9" w:rsidP="001849E9">
            <w:pPr>
              <w:rPr>
                <w:rFonts w:ascii="Book Antiqua" w:hAnsi="Book Antiqua"/>
                <w:sz w:val="22"/>
                <w:szCs w:val="22"/>
              </w:rPr>
            </w:pPr>
            <w:r w:rsidRPr="00516816">
              <w:rPr>
                <w:rFonts w:ascii="Book Antiqua" w:hAnsi="Book Antiqua"/>
                <w:sz w:val="22"/>
                <w:szCs w:val="22"/>
              </w:rPr>
              <w:t>9</w:t>
            </w:r>
          </w:p>
        </w:tc>
        <w:tc>
          <w:tcPr>
            <w:tcW w:w="1141" w:type="dxa"/>
          </w:tcPr>
          <w:p w14:paraId="27FF148B" w14:textId="27135121" w:rsidR="001849E9" w:rsidRPr="00516816" w:rsidRDefault="001849E9" w:rsidP="001849E9">
            <w:pPr>
              <w:rPr>
                <w:rFonts w:ascii="Book Antiqua" w:hAnsi="Book Antiqua"/>
                <w:sz w:val="22"/>
                <w:szCs w:val="22"/>
              </w:rPr>
            </w:pPr>
            <w:r w:rsidRPr="00516816">
              <w:rPr>
                <w:rFonts w:ascii="Book Antiqua" w:hAnsi="Book Antiqua"/>
                <w:sz w:val="22"/>
                <w:szCs w:val="22"/>
              </w:rPr>
              <w:t>20</w:t>
            </w:r>
          </w:p>
        </w:tc>
      </w:tr>
    </w:tbl>
    <w:p w14:paraId="5789C7E1" w14:textId="77777777" w:rsidR="00632EB6" w:rsidRPr="00516816" w:rsidRDefault="00632EB6">
      <w:pPr>
        <w:rPr>
          <w:rFonts w:ascii="Book Antiqua" w:hAnsi="Book Antiqua"/>
          <w:sz w:val="22"/>
          <w:szCs w:val="22"/>
        </w:rPr>
      </w:pPr>
    </w:p>
    <w:sectPr w:rsidR="00632EB6" w:rsidRPr="005168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Wheelan" w:date="2024-05-13T13:41:00Z" w:initials="KW">
    <w:p w14:paraId="0A594996" w14:textId="77777777" w:rsidR="0036049D" w:rsidRDefault="0036049D" w:rsidP="00127FF8">
      <w:r>
        <w:rPr>
          <w:rStyle w:val="CommentReference"/>
        </w:rPr>
        <w:annotationRef/>
      </w:r>
      <w:r>
        <w:rPr>
          <w:sz w:val="20"/>
          <w:szCs w:val="20"/>
        </w:rPr>
        <w:t>PensionPlanInactiveMembers,I20220630_P_Misc_TierI</w:t>
      </w:r>
    </w:p>
  </w:comment>
  <w:comment w:id="1" w:author="Katrina Wheelan" w:date="2024-05-13T13:43:00Z" w:initials="KW">
    <w:p w14:paraId="5527F789" w14:textId="77777777" w:rsidR="00B665CD" w:rsidRDefault="00B665CD" w:rsidP="00B10824">
      <w:r>
        <w:rPr>
          <w:rStyle w:val="CommentReference"/>
        </w:rPr>
        <w:annotationRef/>
      </w:r>
      <w:r>
        <w:rPr>
          <w:sz w:val="20"/>
          <w:szCs w:val="20"/>
        </w:rPr>
        <w:t>PensionPlanInactiveMembers,I20220630_P_Misc_TierII</w:t>
      </w:r>
    </w:p>
  </w:comment>
  <w:comment w:id="2" w:author="Katrina Wheelan" w:date="2024-05-13T13:44:00Z" w:initials="KW">
    <w:p w14:paraId="22ED12FB" w14:textId="77777777" w:rsidR="00B665CD" w:rsidRDefault="00B665CD" w:rsidP="00421334">
      <w:r>
        <w:rPr>
          <w:rStyle w:val="CommentReference"/>
        </w:rPr>
        <w:annotationRef/>
      </w:r>
      <w:r>
        <w:rPr>
          <w:sz w:val="20"/>
          <w:szCs w:val="20"/>
        </w:rPr>
        <w:t>PensionPlanInactiveMembers,I20220630_P_Misc_PEPRA</w:t>
      </w:r>
    </w:p>
  </w:comment>
  <w:comment w:id="3" w:author="Katrina Wheelan" w:date="2024-05-13T13:44:00Z" w:initials="KW">
    <w:p w14:paraId="6B5320EF" w14:textId="77777777" w:rsidR="003940D2" w:rsidRDefault="003940D2" w:rsidP="00A91985">
      <w:r>
        <w:rPr>
          <w:rStyle w:val="CommentReference"/>
        </w:rPr>
        <w:annotationRef/>
      </w:r>
      <w:r>
        <w:rPr>
          <w:sz w:val="20"/>
          <w:szCs w:val="20"/>
        </w:rPr>
        <w:t>PensionPlanInactiveMembers,I20220630_P_Safety_TierI</w:t>
      </w:r>
    </w:p>
  </w:comment>
  <w:comment w:id="4" w:author="Katrina Wheelan" w:date="2024-05-13T13:44:00Z" w:initials="KW">
    <w:p w14:paraId="70F47348" w14:textId="77777777" w:rsidR="003940D2" w:rsidRDefault="003940D2" w:rsidP="001A4DB7">
      <w:r>
        <w:rPr>
          <w:rStyle w:val="CommentReference"/>
        </w:rPr>
        <w:annotationRef/>
      </w:r>
      <w:r>
        <w:rPr>
          <w:sz w:val="20"/>
          <w:szCs w:val="20"/>
        </w:rPr>
        <w:t>PensionPlanInactiveMembers,I20220630_P_Safety_TierII</w:t>
      </w:r>
    </w:p>
  </w:comment>
  <w:comment w:id="5" w:author="Katrina Wheelan" w:date="2024-05-13T13:45:00Z" w:initials="KW">
    <w:p w14:paraId="7E5F496D" w14:textId="77777777" w:rsidR="003940D2" w:rsidRDefault="003940D2" w:rsidP="00C265DA">
      <w:r>
        <w:rPr>
          <w:rStyle w:val="CommentReference"/>
        </w:rPr>
        <w:annotationRef/>
      </w:r>
      <w:r>
        <w:rPr>
          <w:sz w:val="20"/>
          <w:szCs w:val="20"/>
        </w:rPr>
        <w:t>PensionPlanInactiveMembers,I20220630_P_Safety_PEPRA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594996" w15:done="0"/>
  <w15:commentEx w15:paraId="5527F789" w15:done="0"/>
  <w15:commentEx w15:paraId="22ED12FB" w15:done="0"/>
  <w15:commentEx w15:paraId="6B5320EF" w15:done="0"/>
  <w15:commentEx w15:paraId="70F47348" w15:done="0"/>
  <w15:commentEx w15:paraId="7E5F49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7DBA8E" w16cex:dateUtc="2024-05-13T17:41:00Z"/>
  <w16cex:commentExtensible w16cex:durableId="01930972" w16cex:dateUtc="2024-05-13T17:43:00Z"/>
  <w16cex:commentExtensible w16cex:durableId="7EE9A9D2" w16cex:dateUtc="2024-05-13T17:44:00Z"/>
  <w16cex:commentExtensible w16cex:durableId="2FD6597A" w16cex:dateUtc="2024-05-13T17:44:00Z"/>
  <w16cex:commentExtensible w16cex:durableId="2B2152D1" w16cex:dateUtc="2024-05-13T17:44:00Z"/>
  <w16cex:commentExtensible w16cex:durableId="18909310" w16cex:dateUtc="2024-05-13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594996" w16cid:durableId="6C7DBA8E"/>
  <w16cid:commentId w16cid:paraId="5527F789" w16cid:durableId="01930972"/>
  <w16cid:commentId w16cid:paraId="22ED12FB" w16cid:durableId="7EE9A9D2"/>
  <w16cid:commentId w16cid:paraId="6B5320EF" w16cid:durableId="2FD6597A"/>
  <w16cid:commentId w16cid:paraId="70F47348" w16cid:durableId="2B2152D1"/>
  <w16cid:commentId w16cid:paraId="7E5F496D" w16cid:durableId="189093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Wheelan">
    <w15:presenceInfo w15:providerId="AD" w15:userId="S::kwheelan@uchicago.edu::c526ab68-4052-42a2-b601-74baf58726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1E"/>
    <w:rsid w:val="00031B01"/>
    <w:rsid w:val="0003218A"/>
    <w:rsid w:val="00066E2B"/>
    <w:rsid w:val="001849E9"/>
    <w:rsid w:val="001C09F6"/>
    <w:rsid w:val="00261ADF"/>
    <w:rsid w:val="0030406B"/>
    <w:rsid w:val="0032093B"/>
    <w:rsid w:val="0036049D"/>
    <w:rsid w:val="003940D2"/>
    <w:rsid w:val="00447EC0"/>
    <w:rsid w:val="00516816"/>
    <w:rsid w:val="00592BF2"/>
    <w:rsid w:val="0062565B"/>
    <w:rsid w:val="00632EB6"/>
    <w:rsid w:val="0063787C"/>
    <w:rsid w:val="006D61D4"/>
    <w:rsid w:val="00734866"/>
    <w:rsid w:val="00913F02"/>
    <w:rsid w:val="00A9451E"/>
    <w:rsid w:val="00AE6A2D"/>
    <w:rsid w:val="00B232BB"/>
    <w:rsid w:val="00B343BF"/>
    <w:rsid w:val="00B665CD"/>
    <w:rsid w:val="00C55786"/>
    <w:rsid w:val="00CD0021"/>
    <w:rsid w:val="00E01E60"/>
    <w:rsid w:val="00ED2424"/>
    <w:rsid w:val="00F16ED8"/>
    <w:rsid w:val="00F51550"/>
    <w:rsid w:val="00F5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F5C7E"/>
  <w15:chartTrackingRefBased/>
  <w15:docId w15:val="{A9C930C0-20FE-C84C-A1E5-1B9E7832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451E"/>
    <w:rPr>
      <w:sz w:val="16"/>
      <w:szCs w:val="16"/>
    </w:rPr>
  </w:style>
  <w:style w:type="paragraph" w:styleId="CommentText">
    <w:name w:val="annotation text"/>
    <w:basedOn w:val="Normal"/>
    <w:link w:val="CommentTextChar"/>
    <w:uiPriority w:val="99"/>
    <w:semiHidden/>
    <w:unhideWhenUsed/>
    <w:rsid w:val="00A9451E"/>
    <w:rPr>
      <w:sz w:val="20"/>
      <w:szCs w:val="20"/>
    </w:rPr>
  </w:style>
  <w:style w:type="character" w:customStyle="1" w:styleId="CommentTextChar">
    <w:name w:val="Comment Text Char"/>
    <w:basedOn w:val="DefaultParagraphFont"/>
    <w:link w:val="CommentText"/>
    <w:uiPriority w:val="99"/>
    <w:semiHidden/>
    <w:rsid w:val="00A9451E"/>
    <w:rPr>
      <w:sz w:val="20"/>
      <w:szCs w:val="20"/>
    </w:rPr>
  </w:style>
  <w:style w:type="paragraph" w:styleId="CommentSubject">
    <w:name w:val="annotation subject"/>
    <w:basedOn w:val="CommentText"/>
    <w:next w:val="CommentText"/>
    <w:link w:val="CommentSubjectChar"/>
    <w:uiPriority w:val="99"/>
    <w:semiHidden/>
    <w:unhideWhenUsed/>
    <w:rsid w:val="00A9451E"/>
    <w:rPr>
      <w:b/>
      <w:bCs/>
    </w:rPr>
  </w:style>
  <w:style w:type="character" w:customStyle="1" w:styleId="CommentSubjectChar">
    <w:name w:val="Comment Subject Char"/>
    <w:basedOn w:val="CommentTextChar"/>
    <w:link w:val="CommentSubject"/>
    <w:uiPriority w:val="99"/>
    <w:semiHidden/>
    <w:rsid w:val="00A945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Wheelan</dc:creator>
  <cp:keywords/>
  <dc:description/>
  <cp:lastModifiedBy>Katrina Wheelan</cp:lastModifiedBy>
  <cp:revision>11</cp:revision>
  <dcterms:created xsi:type="dcterms:W3CDTF">2024-05-13T17:57:00Z</dcterms:created>
  <dcterms:modified xsi:type="dcterms:W3CDTF">2024-05-14T13:23:00Z</dcterms:modified>
</cp:coreProperties>
</file>