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에이전트-등록-관리-프로토타입"/>
    <w:p>
      <w:pPr>
        <w:pStyle w:val="Heading1"/>
      </w:pPr>
      <w:r>
        <w:t xml:space="preserve">에이전트 등록 관리 프로토타입</w:t>
      </w:r>
    </w:p>
    <w:p>
      <w:pPr>
        <w:pStyle w:val="FirstParagraph"/>
      </w:pPr>
      <w:r>
        <w:t xml:space="preserve">영문 제목: Agent Registration Management Prototype</w:t>
      </w:r>
    </w:p>
    <w:bookmarkStart w:id="9" w:name="목적"/>
    <w:p>
      <w:pPr>
        <w:pStyle w:val="Heading2"/>
      </w:pPr>
      <w:r>
        <w:t xml:space="preserve">1. 목적</w:t>
      </w:r>
    </w:p>
    <w:p>
      <w:pPr>
        <w:pStyle w:val="FirstParagraph"/>
      </w:pPr>
      <w:r>
        <w:t xml:space="preserve">이 문서는 1차년도 Go 기반 service-control framework에 구현된 AI 에이전트 등록 관리 프로토타입을 설명합니다. 목적은 AI 에이전트를 어떻게 표현하는지, 허용 가능한 action boundary를 어떻게 등록하는지, Go service-control 계층이 agent action을 수용 가능한 서비스 제어 판단으로 처리하기 전에 어떻게 검증하는지 정의하는 것입니다.</w:t>
      </w:r>
    </w:p>
    <w:p>
      <w:pPr>
        <w:pStyle w:val="BodyText"/>
      </w:pPr>
      <w:r>
        <w:t xml:space="preserve">본 문서는 공식 설계 산출물 원본입니다. 에이전트 registry JSON 파일, Go service-control 구현, API/CLI 검증 출력과 함께 검토해야 합니다.</w:t>
      </w:r>
    </w:p>
    <w:bookmarkEnd w:id="9"/>
    <w:bookmarkStart w:id="10" w:name="프로토타입-범위"/>
    <w:p>
      <w:pPr>
        <w:pStyle w:val="Heading2"/>
      </w:pPr>
      <w:r>
        <w:t xml:space="preserve">2. 프로토타입 범위</w:t>
      </w:r>
    </w:p>
    <w:p>
      <w:pPr>
        <w:pStyle w:val="FirstParagraph"/>
      </w:pPr>
      <w:r>
        <w:t xml:space="preserve">프로토타입 범위는 다음과 같습니다.</w:t>
      </w:r>
    </w:p>
    <w:p>
      <w:pPr>
        <w:pStyle w:val="Compact"/>
        <w:numPr>
          <w:ilvl w:val="0"/>
          <w:numId w:val="1001"/>
        </w:numPr>
      </w:pPr>
      <w:r>
        <w:t xml:space="preserve">에이전트 metadata 등록</w:t>
      </w:r>
    </w:p>
    <w:p>
      <w:pPr>
        <w:pStyle w:val="Compact"/>
        <w:numPr>
          <w:ilvl w:val="0"/>
          <w:numId w:val="1001"/>
        </w:numPr>
      </w:pPr>
      <w:r>
        <w:t xml:space="preserve">에이전트 역할과 책임 정의</w:t>
      </w:r>
    </w:p>
    <w:p>
      <w:pPr>
        <w:pStyle w:val="Compact"/>
        <w:numPr>
          <w:ilvl w:val="0"/>
          <w:numId w:val="1001"/>
        </w:numPr>
      </w:pPr>
      <w:r>
        <w:t xml:space="preserve">bounded action list 관리</w:t>
      </w:r>
    </w:p>
    <w:p>
      <w:pPr>
        <w:pStyle w:val="Compact"/>
        <w:numPr>
          <w:ilvl w:val="0"/>
          <w:numId w:val="1001"/>
        </w:numPr>
      </w:pPr>
      <w:r>
        <w:t xml:space="preserve">향후 평가를 위한 reward signal 문서화</w:t>
      </w:r>
    </w:p>
    <w:p>
      <w:pPr>
        <w:pStyle w:val="Compact"/>
        <w:numPr>
          <w:ilvl w:val="0"/>
          <w:numId w:val="1001"/>
        </w:numPr>
      </w:pPr>
      <w:r>
        <w:t xml:space="preserve">등록 에이전트와 action에 대한 Go CLI/API 검증</w:t>
      </w:r>
    </w:p>
    <w:p>
      <w:pPr>
        <w:pStyle w:val="Compact"/>
        <w:numPr>
          <w:ilvl w:val="0"/>
          <w:numId w:val="1001"/>
        </w:numPr>
      </w:pPr>
      <w:r>
        <w:t xml:space="preserve">통합 service-operations readiness report와의 연계</w:t>
      </w:r>
    </w:p>
    <w:p>
      <w:pPr>
        <w:pStyle w:val="FirstParagraph"/>
      </w:pPr>
      <w:r>
        <w:t xml:space="preserve">현재 프로토타입은 완전한 autonomous multi-agent orchestration을 구현하지 않습니다. 자율 서비스 제어 agent가 안전하게 동작하기 전에 필요한 등록 및 bounded-action validation foundation을 제공합니다.</w:t>
      </w:r>
    </w:p>
    <w:bookmarkEnd w:id="10"/>
    <w:bookmarkStart w:id="11" w:name="registry-설정"/>
    <w:p>
      <w:pPr>
        <w:pStyle w:val="Heading2"/>
      </w:pPr>
      <w:r>
        <w:t xml:space="preserve">3. Registry 설정</w:t>
      </w:r>
    </w:p>
    <w:p>
      <w:pPr>
        <w:pStyle w:val="FirstParagraph"/>
      </w:pPr>
      <w:r>
        <w:t xml:space="preserve">에이전트 registry 파일은 다음 위치에 있습니다.</w:t>
      </w:r>
    </w:p>
    <w:p>
      <w:pPr>
        <w:pStyle w:val="SourceCode"/>
      </w:pPr>
      <w:r>
        <w:rPr>
          <w:rStyle w:val="VerbatimChar"/>
        </w:rPr>
        <w:t xml:space="preserve">config/agent_registry.json</w:t>
      </w:r>
    </w:p>
    <w:p>
      <w:pPr>
        <w:pStyle w:val="FirstParagraph"/>
      </w:pPr>
      <w:r>
        <w:t xml:space="preserve">각 agent entry는 다음 정보를 포함합니다.</w:t>
      </w:r>
    </w:p>
    <w:p>
      <w:pPr>
        <w:pStyle w:val="Compact"/>
        <w:numPr>
          <w:ilvl w:val="0"/>
          <w:numId w:val="1002"/>
        </w:numPr>
      </w:pPr>
      <w:r>
        <w:rPr>
          <w:rStyle w:val="VerbatimChar"/>
        </w:rPr>
        <w:t xml:space="preserve">name</w:t>
      </w:r>
    </w:p>
    <w:p>
      <w:pPr>
        <w:pStyle w:val="Compact"/>
        <w:numPr>
          <w:ilvl w:val="0"/>
          <w:numId w:val="1002"/>
        </w:numPr>
      </w:pPr>
      <w:r>
        <w:rPr>
          <w:rStyle w:val="VerbatimChar"/>
        </w:rPr>
        <w:t xml:space="preserve">korean_name</w:t>
      </w:r>
    </w:p>
    <w:p>
      <w:pPr>
        <w:pStyle w:val="Compact"/>
        <w:numPr>
          <w:ilvl w:val="0"/>
          <w:numId w:val="1002"/>
        </w:numPr>
      </w:pPr>
      <w:r>
        <w:rPr>
          <w:rStyle w:val="VerbatimChar"/>
        </w:rPr>
        <w:t xml:space="preserve">role</w:t>
      </w:r>
    </w:p>
    <w:p>
      <w:pPr>
        <w:pStyle w:val="Compact"/>
        <w:numPr>
          <w:ilvl w:val="0"/>
          <w:numId w:val="1002"/>
        </w:numPr>
      </w:pPr>
      <w:r>
        <w:rPr>
          <w:rStyle w:val="VerbatimChar"/>
        </w:rPr>
        <w:t xml:space="preserve">responsibilities</w:t>
      </w:r>
    </w:p>
    <w:p>
      <w:pPr>
        <w:pStyle w:val="Compact"/>
        <w:numPr>
          <w:ilvl w:val="0"/>
          <w:numId w:val="1002"/>
        </w:numPr>
      </w:pPr>
      <w:r>
        <w:rPr>
          <w:rStyle w:val="VerbatimChar"/>
        </w:rPr>
        <w:t xml:space="preserve">bounded_actions</w:t>
      </w:r>
    </w:p>
    <w:p>
      <w:pPr>
        <w:pStyle w:val="Compact"/>
        <w:numPr>
          <w:ilvl w:val="0"/>
          <w:numId w:val="1002"/>
        </w:numPr>
      </w:pPr>
      <w:r>
        <w:rPr>
          <w:rStyle w:val="VerbatimChar"/>
        </w:rPr>
        <w:t xml:space="preserve">reward_signals</w:t>
      </w:r>
    </w:p>
    <w:p>
      <w:pPr>
        <w:pStyle w:val="Compact"/>
        <w:numPr>
          <w:ilvl w:val="0"/>
          <w:numId w:val="1002"/>
        </w:numPr>
      </w:pPr>
      <w:r>
        <w:rPr>
          <w:rStyle w:val="VerbatimChar"/>
        </w:rPr>
        <w:t xml:space="preserve">enabled</w:t>
      </w:r>
    </w:p>
    <w:p>
      <w:pPr>
        <w:pStyle w:val="FirstParagraph"/>
      </w:pPr>
      <w:r>
        <w:t xml:space="preserve">registry는 검토 가능한 configuration contract로 취급합니다. Go 로직은 registry를 읽고 agent 존재 여부와 요청 action이 해당 agent의 허용 action set에 포함되는지 검증합니다.</w:t>
      </w:r>
    </w:p>
    <w:bookmarkEnd w:id="11"/>
    <w:bookmarkStart w:id="16" w:name="등록-에이전트"/>
    <w:p>
      <w:pPr>
        <w:pStyle w:val="Heading2"/>
      </w:pPr>
      <w:r>
        <w:t xml:space="preserve">4. 등록 에이전트</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Agent</w:t>
            </w:r>
          </w:p>
        </w:tc>
        <w:tc>
          <w:tcPr/>
          <w:p>
            <w:pPr>
              <w:pStyle w:val="Compact"/>
            </w:pPr>
            <w:r>
              <w:t xml:space="preserve">주요 책임</w:t>
            </w:r>
          </w:p>
        </w:tc>
      </w:tr>
      <w:tr>
        <w:tc>
          <w:tcPr/>
          <w:p>
            <w:pPr>
              <w:pStyle w:val="Compact"/>
            </w:pPr>
            <w:r>
              <w:rPr>
                <w:rStyle w:val="VerbatimChar"/>
              </w:rPr>
              <w:t xml:space="preserve">AIServiceHASupportAgent</w:t>
            </w:r>
          </w:p>
        </w:tc>
        <w:tc>
          <w:tcPr/>
          <w:p>
            <w:pPr>
              <w:pStyle w:val="Compact"/>
            </w:pPr>
            <w:r>
              <w:t xml:space="preserve">서비스 가용성과 recovery 필요성 검토</w:t>
            </w:r>
          </w:p>
        </w:tc>
      </w:tr>
      <w:tr>
        <w:tc>
          <w:tcPr/>
          <w:p>
            <w:pPr>
              <w:pStyle w:val="Compact"/>
            </w:pPr>
            <w:r>
              <w:rPr>
                <w:rStyle w:val="VerbatimChar"/>
              </w:rPr>
              <w:t xml:space="preserve">AIApplicationManagementAgent</w:t>
            </w:r>
          </w:p>
        </w:tc>
        <w:tc>
          <w:tcPr/>
          <w:p>
            <w:pPr>
              <w:pStyle w:val="Compact"/>
            </w:pPr>
            <w:r>
              <w:t xml:space="preserve">AI 응용 배포 및 제어 action 검토</w:t>
            </w:r>
          </w:p>
        </w:tc>
      </w:tr>
      <w:tr>
        <w:tc>
          <w:tcPr/>
          <w:p>
            <w:pPr>
              <w:pStyle w:val="Compact"/>
            </w:pPr>
            <w:r>
              <w:rPr>
                <w:rStyle w:val="VerbatimChar"/>
              </w:rPr>
              <w:t xml:space="preserve">AISemiconductorInfraOpsAgent</w:t>
            </w:r>
          </w:p>
        </w:tc>
        <w:tc>
          <w:tcPr/>
          <w:p>
            <w:pPr>
              <w:pStyle w:val="Compact"/>
            </w:pPr>
            <w:r>
              <w:t xml:space="preserve">CPU/GPU VM 및 인프라 제약 검증</w:t>
            </w:r>
          </w:p>
        </w:tc>
      </w:tr>
      <w:tr>
        <w:tc>
          <w:tcPr/>
          <w:p>
            <w:pPr>
              <w:pStyle w:val="Compact"/>
            </w:pPr>
            <w:r>
              <w:rPr>
                <w:rStyle w:val="VerbatimChar"/>
              </w:rPr>
              <w:t xml:space="preserve">CostOptimizationAgent</w:t>
            </w:r>
          </w:p>
        </w:tc>
        <w:tc>
          <w:tcPr/>
          <w:p>
            <w:pPr>
              <w:pStyle w:val="Compact"/>
            </w:pPr>
            <w:r>
              <w:t xml:space="preserve">비용과 resource efficiency 영향 검토</w:t>
            </w:r>
          </w:p>
        </w:tc>
      </w:tr>
    </w:tbl>
    <w:bookmarkStart w:id="12" w:name="aiservicehasupportagent"/>
    <w:p>
      <w:pPr>
        <w:pStyle w:val="Heading3"/>
      </w:pPr>
      <w:r>
        <w:t xml:space="preserve">AIServiceHASupportAgent</w:t>
      </w:r>
    </w:p>
    <w:p>
      <w:pPr>
        <w:pStyle w:val="FirstParagraph"/>
      </w:pPr>
      <w:r>
        <w:t xml:space="preserve">서비스 가용성 신호를 확인하고 recovery 관련 action 필요성을 판단합니다. 현재 프로토타입에서는 recovery를 직접 실행하기보다 HA support 관점을 표현합니다.</w:t>
      </w:r>
    </w:p>
    <w:bookmarkEnd w:id="12"/>
    <w:bookmarkStart w:id="13" w:name="aiapplicationmanagementagent"/>
    <w:p>
      <w:pPr>
        <w:pStyle w:val="Heading3"/>
      </w:pPr>
      <w:r>
        <w:t xml:space="preserve">AIApplicationManagementAgent</w:t>
      </w:r>
    </w:p>
    <w:p>
      <w:pPr>
        <w:pStyle w:val="FirstParagraph"/>
      </w:pPr>
      <w:r>
        <w:t xml:space="preserve">AI 응용 배포와 제어 판단을 담당합니다. inference VM 선택, deployment 계획, deployment scale 조정, service metric 관찰과 같은 application-level action을 제안할 수 있습니다.</w:t>
      </w:r>
    </w:p>
    <w:bookmarkEnd w:id="13"/>
    <w:bookmarkStart w:id="14" w:name="aisemiconductorinfraopsagent"/>
    <w:p>
      <w:pPr>
        <w:pStyle w:val="Heading3"/>
      </w:pPr>
      <w:r>
        <w:t xml:space="preserve">AISemiconductorInfraOpsAgent</w:t>
      </w:r>
    </w:p>
    <w:p>
      <w:pPr>
        <w:pStyle w:val="FirstParagraph"/>
      </w:pPr>
      <w:r>
        <w:t xml:space="preserve">인프라와 AI semiconductor resource 관점을 나타냅니다. 1차년도 프로토타입에서는 CPU/GPU VM 제약, accelerator 요구, latency, throughput, memory, capacity에 초점을 둡니다. 향후 GPU/NPU cluster orchestration으로 확장할 수 있습니다.</w:t>
      </w:r>
    </w:p>
    <w:bookmarkEnd w:id="14"/>
    <w:bookmarkStart w:id="15" w:name="costoptimizationagent"/>
    <w:p>
      <w:pPr>
        <w:pStyle w:val="Heading3"/>
      </w:pPr>
      <w:r>
        <w:t xml:space="preserve">CostOptimizationAgent</w:t>
      </w:r>
    </w:p>
    <w:p>
      <w:pPr>
        <w:pStyle w:val="FirstParagraph"/>
      </w:pPr>
      <w:r>
        <w:t xml:space="preserve">resource usage와 cost implication을 검토합니다. 불필요한 GPU 사용이나 과도한 scale-out 같은 고비용 action을 제한하는 데 사용합니다.</w:t>
      </w:r>
    </w:p>
    <w:bookmarkEnd w:id="15"/>
    <w:bookmarkEnd w:id="16"/>
    <w:bookmarkStart w:id="17" w:name="bounded-action"/>
    <w:p>
      <w:pPr>
        <w:pStyle w:val="Heading2"/>
      </w:pPr>
      <w:r>
        <w:t xml:space="preserve">5. Bounded Action</w:t>
      </w:r>
    </w:p>
    <w:p>
      <w:pPr>
        <w:pStyle w:val="FirstParagraph"/>
      </w:pPr>
      <w:r>
        <w:t xml:space="preserve">Bounded action은 각 agent가 승인하거나 제안할 수 있는 action을 정의합니다. 이는 안전성을 위한 설계 선택입니다. LLM 또는 agent가 arbitrary infrastructure command를 자유롭게 생성하도록 두지 않고, 요청 action이 선택 agent의 allowed action list에 포함되는지 먼저 확인합니다.</w:t>
      </w:r>
    </w:p>
    <w:p>
      <w:pPr>
        <w:pStyle w:val="BodyText"/>
      </w:pPr>
      <w:r>
        <w:t xml:space="preserve">예를 들어</w:t>
      </w:r>
      <w:r>
        <w:t xml:space="preserve"> </w:t>
      </w:r>
      <w:r>
        <w:rPr>
          <w:rStyle w:val="VerbatimChar"/>
        </w:rPr>
        <w:t xml:space="preserve">AIApplicationManagementAgent</w:t>
      </w:r>
      <w:r>
        <w:t xml:space="preserve">는</w:t>
      </w:r>
      <w:r>
        <w:t xml:space="preserve"> </w:t>
      </w:r>
      <w:r>
        <w:rPr>
          <w:rStyle w:val="VerbatimChar"/>
        </w:rPr>
        <w:t xml:space="preserve">app_scale_deployment</w:t>
      </w:r>
      <w:r>
        <w:t xml:space="preserve">,</w:t>
      </w:r>
      <w:r>
        <w:t xml:space="preserve"> </w:t>
      </w:r>
      <w:r>
        <w:rPr>
          <w:rStyle w:val="VerbatimChar"/>
        </w:rPr>
        <w:t xml:space="preserve">app_plan_deployment</w:t>
      </w:r>
      <w:r>
        <w:t xml:space="preserve">와 같은 application-level action을 검증할 수 있고,</w:t>
      </w:r>
      <w:r>
        <w:t xml:space="preserve"> </w:t>
      </w:r>
      <w:r>
        <w:rPr>
          <w:rStyle w:val="VerbatimChar"/>
        </w:rPr>
        <w:t xml:space="preserve">AISemiconductorInfraOpsAgent</w:t>
      </w:r>
      <w:r>
        <w:t xml:space="preserve">는 infrastructure placement 관련 action을 담당합니다. action이 선택 agent의 범위에 없으면 Go validation function은 false를 반환합니다.</w:t>
      </w:r>
    </w:p>
    <w:bookmarkEnd w:id="17"/>
    <w:bookmarkStart w:id="18" w:name="reward-signal"/>
    <w:p>
      <w:pPr>
        <w:pStyle w:val="Heading2"/>
      </w:pPr>
      <w:r>
        <w:t xml:space="preserve">6. Reward Signal</w:t>
      </w:r>
    </w:p>
    <w:p>
      <w:pPr>
        <w:pStyle w:val="FirstParagraph"/>
      </w:pPr>
      <w:r>
        <w:t xml:space="preserve">Reward signal은 각 agent가 무엇을 최적화하거나 피해야 하는지 설계 수준에서 표현합니다. 현재 프로토타입에서는 reinforcement learning model 학습에 사용하지 않습니다. 대신 agent별 평가 방향을 문서화합니다. 예를 들어 service HA agent는 recovery 필요성 판단이 실제 incident state와 일치할 때 positive reward를 받고, cost optimization agent는 불필요한 고비용 resource 사용을 승인할 때 penalty를 받는 식입니다.</w:t>
      </w:r>
    </w:p>
    <w:p>
      <w:pPr>
        <w:pStyle w:val="BodyText"/>
      </w:pPr>
      <w:r>
        <w:t xml:space="preserve">Reward signal은 향후 평가와 learning extension을 위한 설계 산출물이며, 완료된 RL training result가 아닙니다.</w:t>
      </w:r>
    </w:p>
    <w:bookmarkEnd w:id="18"/>
    <w:bookmarkStart w:id="19" w:name="go-구현"/>
    <w:p>
      <w:pPr>
        <w:pStyle w:val="Heading2"/>
      </w:pPr>
      <w:r>
        <w:t xml:space="preserve">7. Go 구현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구성요소</w:t>
            </w:r>
          </w:p>
        </w:tc>
        <w:tc>
          <w:tcPr/>
          <w:p>
            <w:pPr>
              <w:pStyle w:val="Compact"/>
            </w:pPr>
            <w:r>
              <w:t xml:space="preserve">경로</w:t>
            </w:r>
          </w:p>
        </w:tc>
      </w:tr>
      <w:tr>
        <w:tc>
          <w:tcPr/>
          <w:p>
            <w:pPr>
              <w:pStyle w:val="Compact"/>
            </w:pPr>
            <w:r>
              <w:t xml:space="preserve">에이전트 registry 설정</w:t>
            </w:r>
          </w:p>
        </w:tc>
        <w:tc>
          <w:tcPr/>
          <w:p>
            <w:pPr>
              <w:pStyle w:val="Compact"/>
            </w:pPr>
            <w:r>
              <w:rPr>
                <w:rStyle w:val="VerbatimChar"/>
              </w:rPr>
              <w:t xml:space="preserve">config/agent_registry.json</w:t>
            </w:r>
          </w:p>
        </w:tc>
      </w:tr>
      <w:tr>
        <w:tc>
          <w:tcPr/>
          <w:p>
            <w:pPr>
              <w:pStyle w:val="Compact"/>
            </w:pPr>
            <w:r>
              <w:t xml:space="preserve">Go 서비스 로직</w:t>
            </w:r>
          </w:p>
        </w:tc>
        <w:tc>
          <w:tcPr/>
          <w:p>
            <w:pPr>
              <w:pStyle w:val="Compact"/>
            </w:pPr>
            <w:r>
              <w:rPr>
                <w:rStyle w:val="VerbatimChar"/>
              </w:rPr>
              <w:t xml:space="preserve">go/service-control-api/internal/api/service.go</w:t>
            </w:r>
          </w:p>
        </w:tc>
      </w:tr>
      <w:tr>
        <w:tc>
          <w:tcPr/>
          <w:p>
            <w:pPr>
              <w:pStyle w:val="Compact"/>
            </w:pPr>
            <w:r>
              <w:t xml:space="preserve">API/CLI model</w:t>
            </w:r>
          </w:p>
        </w:tc>
        <w:tc>
          <w:tcPr/>
          <w:p>
            <w:pPr>
              <w:pStyle w:val="Compact"/>
            </w:pPr>
            <w:r>
              <w:rPr>
                <w:rStyle w:val="VerbatimChar"/>
              </w:rPr>
              <w:t xml:space="preserve">go/service-control-api/internal/api/models.go</w:t>
            </w:r>
          </w:p>
        </w:tc>
      </w:tr>
      <w:tr>
        <w:tc>
          <w:tcPr/>
          <w:p>
            <w:pPr>
              <w:pStyle w:val="Compact"/>
            </w:pPr>
            <w:r>
              <w:t xml:space="preserve">CLI entrypoint</w:t>
            </w:r>
          </w:p>
        </w:tc>
        <w:tc>
          <w:tcPr/>
          <w:p>
            <w:pPr>
              <w:pStyle w:val="Compact"/>
            </w:pPr>
            <w:r>
              <w:rPr>
                <w:rStyle w:val="VerbatimChar"/>
              </w:rPr>
              <w:t xml:space="preserve">go/service-control-api/cmd/aiops-service-control/main.go</w:t>
            </w:r>
          </w:p>
        </w:tc>
      </w:tr>
    </w:tbl>
    <w:p>
      <w:pPr>
        <w:pStyle w:val="BodyText"/>
      </w:pPr>
      <w:r>
        <w:t xml:space="preserve">Go 구현은 registry loading, agent lookup, action validation, integrated service-operation review output을 제공합니다.</w:t>
      </w:r>
    </w:p>
    <w:bookmarkEnd w:id="19"/>
    <w:bookmarkStart w:id="20" w:name="cli-검증"/>
    <w:p>
      <w:pPr>
        <w:pStyle w:val="Heading2"/>
      </w:pPr>
      <w:r>
        <w:t xml:space="preserve">8. CLI 검증</w:t>
      </w:r>
    </w:p>
    <w:p>
      <w:pPr>
        <w:pStyle w:val="FirstParagraph"/>
      </w:pPr>
      <w:r>
        <w:t xml:space="preserve">에이전트 목록 조회:</w:t>
      </w:r>
    </w:p>
    <w:p>
      <w:pPr>
        <w:pStyle w:val="SourceCode"/>
      </w:pPr>
      <w:r>
        <w:rPr>
          <w:rStyle w:val="VerbatimChar"/>
        </w:rPr>
        <w:t xml:space="preserve">cd go/service-control-api</w:t>
      </w:r>
      <w:r>
        <w:br/>
      </w:r>
      <w:r>
        <w:rPr>
          <w:rStyle w:val="VerbatimChar"/>
        </w:rPr>
        <w:t xml:space="preserve">go run ./cmd/aiops-service-control list-agents \</w:t>
      </w:r>
      <w:r>
        <w:br/>
      </w:r>
      <w:r>
        <w:rPr>
          <w:rStyle w:val="VerbatimChar"/>
        </w:rPr>
        <w:t xml:space="preserve">  --registry ../../config/agent_registry.json</w:t>
      </w:r>
    </w:p>
    <w:p>
      <w:pPr>
        <w:pStyle w:val="FirstParagraph"/>
      </w:pPr>
      <w:r>
        <w:t xml:space="preserve">단일 에이전트 조회:</w:t>
      </w:r>
    </w:p>
    <w:p>
      <w:pPr>
        <w:pStyle w:val="SourceCode"/>
      </w:pPr>
      <w:r>
        <w:rPr>
          <w:rStyle w:val="VerbatimChar"/>
        </w:rPr>
        <w:t xml:space="preserve">go run ./cmd/aiops-service-control show-agent \</w:t>
      </w:r>
      <w:r>
        <w:br/>
      </w:r>
      <w:r>
        <w:rPr>
          <w:rStyle w:val="VerbatimChar"/>
        </w:rPr>
        <w:t xml:space="preserve">  --registry ../../config/agent_registry.json \</w:t>
      </w:r>
      <w:r>
        <w:br/>
      </w:r>
      <w:r>
        <w:rPr>
          <w:rStyle w:val="VerbatimChar"/>
        </w:rPr>
        <w:t xml:space="preserve">  --agent AIApplicationManagementAgent</w:t>
      </w:r>
    </w:p>
    <w:p>
      <w:pPr>
        <w:pStyle w:val="FirstParagraph"/>
      </w:pPr>
      <w:r>
        <w:t xml:space="preserve">Action 검증:</w:t>
      </w:r>
    </w:p>
    <w:p>
      <w:pPr>
        <w:pStyle w:val="SourceCode"/>
      </w:pPr>
      <w:r>
        <w:rPr>
          <w:rStyle w:val="VerbatimChar"/>
        </w:rPr>
        <w:t xml:space="preserve">go run ./cmd/aiops-service-control validate-agent-action \</w:t>
      </w:r>
      <w:r>
        <w:br/>
      </w:r>
      <w:r>
        <w:rPr>
          <w:rStyle w:val="VerbatimChar"/>
        </w:rPr>
        <w:t xml:space="preserve">  --registry ../../config/agent_registry.json \</w:t>
      </w:r>
      <w:r>
        <w:br/>
      </w:r>
      <w:r>
        <w:rPr>
          <w:rStyle w:val="VerbatimChar"/>
        </w:rPr>
        <w:t xml:space="preserve">  --agent AIApplicationManagementAgent \</w:t>
      </w:r>
      <w:r>
        <w:br/>
      </w:r>
      <w:r>
        <w:rPr>
          <w:rStyle w:val="VerbatimChar"/>
        </w:rPr>
        <w:t xml:space="preserve">  --action app_scale_deployment</w:t>
      </w:r>
    </w:p>
    <w:p>
      <w:pPr>
        <w:pStyle w:val="FirstParagraph"/>
      </w:pPr>
      <w:r>
        <w:t xml:space="preserve">기대 신호:</w:t>
      </w:r>
    </w:p>
    <w:p>
      <w:pPr>
        <w:pStyle w:val="SourceCode"/>
      </w:pPr>
      <w:r>
        <w:rPr>
          <w:rStyle w:val="VerbatimChar"/>
        </w:rPr>
        <w:t xml:space="preserve">valid = true</w:t>
      </w:r>
    </w:p>
    <w:bookmarkEnd w:id="20"/>
    <w:bookmarkStart w:id="21" w:name="api-연동"/>
    <w:p>
      <w:pPr>
        <w:pStyle w:val="Heading2"/>
      </w:pPr>
      <w:r>
        <w:t xml:space="preserve">9. API 연동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기능</w:t>
            </w:r>
          </w:p>
        </w:tc>
        <w:tc>
          <w:tcPr/>
          <w:p>
            <w:pPr>
              <w:pStyle w:val="Compact"/>
            </w:pPr>
            <w:r>
              <w:t xml:space="preserve">API path</w:t>
            </w:r>
          </w:p>
        </w:tc>
      </w:tr>
      <w:tr>
        <w:tc>
          <w:tcPr/>
          <w:p>
            <w:pPr>
              <w:pStyle w:val="Compact"/>
            </w:pPr>
            <w:r>
              <w:t xml:space="preserve">등록 에이전트 목록 조회</w:t>
            </w:r>
          </w:p>
        </w:tc>
        <w:tc>
          <w:tcPr/>
          <w:p>
            <w:pPr>
              <w:pStyle w:val="Compact"/>
            </w:pPr>
            <w:r>
              <w:rPr>
                <w:rStyle w:val="VerbatimChar"/>
              </w:rPr>
              <w:t xml:space="preserve">GET /api/v1/agents</w:t>
            </w:r>
          </w:p>
        </w:tc>
      </w:tr>
      <w:tr>
        <w:tc>
          <w:tcPr/>
          <w:p>
            <w:pPr>
              <w:pStyle w:val="Compact"/>
            </w:pPr>
            <w:r>
              <w:t xml:space="preserve">통합 서비스 운영 준비도 실행</w:t>
            </w:r>
          </w:p>
        </w:tc>
        <w:tc>
          <w:tcPr/>
          <w:p>
            <w:pPr>
              <w:pStyle w:val="Compact"/>
            </w:pPr>
            <w:r>
              <w:rPr>
                <w:rStyle w:val="VerbatimChar"/>
              </w:rPr>
              <w:t xml:space="preserve">POST /api/v1/service-operations/run</w:t>
            </w:r>
          </w:p>
        </w:tc>
      </w:tr>
    </w:tbl>
    <w:p>
      <w:pPr>
        <w:pStyle w:val="BodyText"/>
      </w:pPr>
      <w:r>
        <w:t xml:space="preserve">통합 service-operations 응답에는</w:t>
      </w:r>
      <w:r>
        <w:t xml:space="preserve"> </w:t>
      </w:r>
      <w:r>
        <w:rPr>
          <w:rStyle w:val="VerbatimChar"/>
        </w:rPr>
        <w:t xml:space="preserve">agent_reviews</w:t>
      </w:r>
      <w:r>
        <w:t xml:space="preserve">가 포함되며, application, infrastructure, cost 검토 관점을 함께 보고합니다.</w:t>
      </w:r>
    </w:p>
    <w:bookmarkEnd w:id="21"/>
    <w:bookmarkStart w:id="22" w:name="설계-경계"/>
    <w:p>
      <w:pPr>
        <w:pStyle w:val="Heading2"/>
      </w:pPr>
      <w:r>
        <w:t xml:space="preserve">10. 설계 경계</w:t>
      </w:r>
    </w:p>
    <w:p>
      <w:pPr>
        <w:pStyle w:val="FirstParagraph"/>
      </w:pPr>
      <w:r>
        <w:t xml:space="preserve">현재 프로토타입은 완전한 autonomous agent orchestration을 주장하지 않습니다. 자율 서비스 제어 agent가 안전하게 작동하기 전에 필요한 registration과 bounded-action validation foundation을 제공합니다. 향후 multi-agent planning, real operation metrics, reinforcement learning feedback, runtime policy governance와 연결할 수 있습니다.</w:t>
      </w:r>
    </w:p>
    <w:bookmarkEnd w:id="22"/>
    <w:bookmarkStart w:id="23" w:name="관련-산출물"/>
    <w:p>
      <w:pPr>
        <w:pStyle w:val="Heading2"/>
      </w:pPr>
      <w:r>
        <w:t xml:space="preserve">11. 관련 산출물</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산출물</w:t>
            </w:r>
          </w:p>
        </w:tc>
        <w:tc>
          <w:tcPr/>
          <w:p>
            <w:pPr>
              <w:pStyle w:val="Compact"/>
            </w:pPr>
            <w:r>
              <w:t xml:space="preserve">경로</w:t>
            </w:r>
          </w:p>
        </w:tc>
      </w:tr>
      <w:tr>
        <w:tc>
          <w:tcPr/>
          <w:p>
            <w:pPr>
              <w:pStyle w:val="Compact"/>
            </w:pPr>
            <w:r>
              <w:t xml:space="preserve">에이전트 registry 설정</w:t>
            </w:r>
          </w:p>
        </w:tc>
        <w:tc>
          <w:tcPr/>
          <w:p>
            <w:pPr>
              <w:pStyle w:val="Compact"/>
            </w:pPr>
            <w:r>
              <w:rPr>
                <w:rStyle w:val="VerbatimChar"/>
              </w:rPr>
              <w:t xml:space="preserve">config/agent_registry.json</w:t>
            </w:r>
          </w:p>
        </w:tc>
      </w:tr>
      <w:tr>
        <w:tc>
          <w:tcPr/>
          <w:p>
            <w:pPr>
              <w:pStyle w:val="Compact"/>
            </w:pPr>
            <w:r>
              <w:t xml:space="preserve">에이전트 registry 가이드</w:t>
            </w:r>
          </w:p>
        </w:tc>
        <w:tc>
          <w:tcPr/>
          <w:p>
            <w:pPr>
              <w:pStyle w:val="Compact"/>
            </w:pPr>
            <w:r>
              <w:rPr>
                <w:rStyle w:val="VerbatimChar"/>
              </w:rPr>
              <w:t xml:space="preserve">docs/design/agent_registry_guide.md</w:t>
            </w:r>
          </w:p>
        </w:tc>
      </w:tr>
      <w:tr>
        <w:tc>
          <w:tcPr/>
          <w:p>
            <w:pPr>
              <w:pStyle w:val="Compact"/>
            </w:pPr>
            <w:r>
              <w:t xml:space="preserve">에이전트 action/reward policy</w:t>
            </w:r>
          </w:p>
        </w:tc>
        <w:tc>
          <w:tcPr/>
          <w:p>
            <w:pPr>
              <w:pStyle w:val="Compact"/>
            </w:pPr>
            <w:r>
              <w:rPr>
                <w:rStyle w:val="VerbatimChar"/>
              </w:rPr>
              <w:t xml:space="preserve">docs/design/agent_action_reward_policy.md</w:t>
            </w:r>
          </w:p>
        </w:tc>
      </w:tr>
      <w:tr>
        <w:tc>
          <w:tcPr/>
          <w:p>
            <w:pPr>
              <w:pStyle w:val="Compact"/>
            </w:pPr>
            <w:r>
              <w:t xml:space="preserve">Go 서비스 로직</w:t>
            </w:r>
          </w:p>
        </w:tc>
        <w:tc>
          <w:tcPr/>
          <w:p>
            <w:pPr>
              <w:pStyle w:val="Compact"/>
            </w:pPr>
            <w:r>
              <w:rPr>
                <w:rStyle w:val="VerbatimChar"/>
              </w:rPr>
              <w:t xml:space="preserve">go/service-control-api/internal/api/service.go</w:t>
            </w:r>
          </w:p>
        </w:tc>
      </w:tr>
      <w:tr>
        <w:tc>
          <w:tcPr/>
          <w:p>
            <w:pPr>
              <w:pStyle w:val="Compact"/>
            </w:pPr>
            <w:r>
              <w:t xml:space="preserve">API/CLI model</w:t>
            </w:r>
          </w:p>
        </w:tc>
        <w:tc>
          <w:tcPr/>
          <w:p>
            <w:pPr>
              <w:pStyle w:val="Compact"/>
            </w:pPr>
            <w:r>
              <w:rPr>
                <w:rStyle w:val="VerbatimChar"/>
              </w:rPr>
              <w:t xml:space="preserve">go/service-control-api/internal/api/models.go</w:t>
            </w:r>
          </w:p>
        </w:tc>
      </w:tr>
      <w:tr>
        <w:tc>
          <w:tcPr/>
          <w:p>
            <w:pPr>
              <w:pStyle w:val="Compact"/>
            </w:pPr>
            <w:r>
              <w:t xml:space="preserve">CLI entrypoint</w:t>
            </w:r>
          </w:p>
        </w:tc>
        <w:tc>
          <w:tcPr/>
          <w:p>
            <w:pPr>
              <w:pStyle w:val="Compact"/>
            </w:pPr>
            <w:r>
              <w:rPr>
                <w:rStyle w:val="VerbatimChar"/>
              </w:rPr>
              <w:t xml:space="preserve">go/service-control-api/cmd/aiops-service-control/main.go</w:t>
            </w:r>
          </w:p>
        </w:tc>
      </w:tr>
      <w:tr>
        <w:tc>
          <w:tcPr/>
          <w:p>
            <w:pPr>
              <w:pStyle w:val="Compact"/>
            </w:pPr>
            <w:r>
              <w:t xml:space="preserve">기능/API 가이드</w:t>
            </w:r>
          </w:p>
        </w:tc>
        <w:tc>
          <w:tcPr/>
          <w:p>
            <w:pPr>
              <w:pStyle w:val="Compact"/>
            </w:pPr>
            <w:r>
              <w:rPr>
                <w:rStyle w:val="VerbatimChar"/>
              </w:rPr>
              <w:t xml:space="preserve">docs/submission/functional_api_guide.md</w:t>
            </w:r>
          </w:p>
        </w:tc>
      </w:tr>
      <w:tr>
        <w:tc>
          <w:tcPr/>
          <w:p>
            <w:pPr>
              <w:pStyle w:val="Compact"/>
            </w:pPr>
            <w:r>
              <w:t xml:space="preserve">테스트 가이드</w:t>
            </w:r>
          </w:p>
        </w:tc>
        <w:tc>
          <w:tcPr/>
          <w:p>
            <w:pPr>
              <w:pStyle w:val="Compact"/>
            </w:pPr>
            <w:r>
              <w:rPr>
                <w:rStyle w:val="VerbatimChar"/>
              </w:rPr>
              <w:t xml:space="preserve">docs/submission/test_guide.md</w:t>
            </w:r>
          </w:p>
        </w:tc>
      </w:tr>
    </w:tbl>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2026-06-29T06:25:42Z</dcterms:created>
  <dcterms:modified xsi:type="dcterms:W3CDTF">2026-06-29T06:25:42Z</dcterms:modified>
</cp:coreProperties>
</file>

<file path=docProps/custom.xml><?xml version="1.0" encoding="utf-8"?>
<Properties xmlns="http://schemas.openxmlformats.org/officeDocument/2006/custom-properties" xmlns:vt="http://schemas.openxmlformats.org/officeDocument/2006/docPropsVTypes"/>
</file>