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요구사항-정의서"/>
    <w:p>
      <w:pPr>
        <w:pStyle w:val="Heading1"/>
      </w:pPr>
      <w:r>
        <w:t xml:space="preserve">요구사항 정의서</w:t>
      </w:r>
    </w:p>
    <w:p>
      <w:pPr>
        <w:pStyle w:val="FirstParagraph"/>
      </w:pPr>
      <w:r>
        <w:t xml:space="preserve">English title: Requirements Definition</w:t>
      </w:r>
    </w:p>
    <w:bookmarkStart w:id="9" w:name="document-overview"/>
    <w:p>
      <w:pPr>
        <w:pStyle w:val="Heading2"/>
      </w:pPr>
      <w:r>
        <w:t xml:space="preserve">1. Document Overview</w:t>
      </w:r>
    </w:p>
    <w:p>
      <w:pPr>
        <w:pStyle w:val="FirstParagraph"/>
      </w:pPr>
      <w:r>
        <w:t xml:space="preserve">This document defines the functional, non-functional, submission, development,</w:t>
      </w:r>
      <w:r>
        <w:t xml:space="preserve"> </w:t>
      </w:r>
      <w:r>
        <w:t xml:space="preserve">and validation requirements for the 1st-year Go-based service-control functional</w:t>
      </w:r>
      <w:r>
        <w:t xml:space="preserve"> </w:t>
      </w:r>
      <w:r>
        <w:t xml:space="preserve">prototype. The prototype supports AI LLM operation management, AI agent</w:t>
      </w:r>
      <w:r>
        <w:t xml:space="preserve"> </w:t>
      </w:r>
      <w:r>
        <w:t xml:space="preserve">registration management, CPU/GPU VM placement recommendation, and AI</w:t>
      </w:r>
      <w:r>
        <w:t xml:space="preserve"> </w:t>
      </w:r>
      <w:r>
        <w:t xml:space="preserve">application deployment/control readiness validation.</w:t>
      </w:r>
    </w:p>
    <w:p>
      <w:pPr>
        <w:pStyle w:val="BodyText"/>
      </w:pPr>
      <w:r>
        <w:t xml:space="preserve">The document is maintained as the Markdown source for the requirements</w:t>
      </w:r>
      <w:r>
        <w:t xml:space="preserve"> </w:t>
      </w:r>
      <w:r>
        <w:t xml:space="preserve">definition submission artifact. A DOCX submission copy can be generated from</w:t>
      </w:r>
      <w:r>
        <w:t xml:space="preserve"> </w:t>
      </w:r>
      <w:r>
        <w:t xml:space="preserve">this source by using</w:t>
      </w:r>
      <w:r>
        <w:t xml:space="preserve"> </w:t>
      </w:r>
      <w:r>
        <w:rPr>
          <w:rStyle w:val="VerbatimChar"/>
        </w:rPr>
        <w:t xml:space="preserve">scripts/generate_docx_deliverables.sh</w:t>
      </w:r>
      <w:r>
        <w:t xml:space="preserve"> </w:t>
      </w:r>
      <w:r>
        <w:t xml:space="preserve">or an equivalent</w:t>
      </w:r>
      <w:r>
        <w:t xml:space="preserve"> </w:t>
      </w:r>
      <w:r>
        <w:t xml:space="preserve">Pandoc command.</w:t>
      </w:r>
    </w:p>
    <w:bookmarkEnd w:id="9"/>
    <w:bookmarkStart w:id="10" w:name="project-scope"/>
    <w:p>
      <w:pPr>
        <w:pStyle w:val="Heading2"/>
      </w:pPr>
      <w:r>
        <w:t xml:space="preserve">2. Project Scope</w:t>
      </w:r>
    </w:p>
    <w:p>
      <w:pPr>
        <w:pStyle w:val="FirstParagraph"/>
      </w:pPr>
      <w:r>
        <w:t xml:space="preserve">The project scope is limited to a 1st-year functional prototype. The repository</w:t>
      </w:r>
      <w:r>
        <w:t xml:space="preserve"> </w:t>
      </w:r>
      <w:r>
        <w:t xml:space="preserve">provides Go API/CLI components, JSON configuration files, design deliverables,</w:t>
      </w:r>
      <w:r>
        <w:t xml:space="preserve"> </w:t>
      </w:r>
      <w:r>
        <w:t xml:space="preserve">and validation documents required to demonstrate the assigned service-control</w:t>
      </w:r>
      <w:r>
        <w:t xml:space="preserve"> </w:t>
      </w:r>
      <w:r>
        <w:t xml:space="preserve">research scope.</w:t>
      </w:r>
    </w:p>
    <w:p>
      <w:pPr>
        <w:pStyle w:val="BodyText"/>
      </w:pPr>
      <w:r>
        <w:t xml:space="preserve">Included scope:</w:t>
      </w:r>
    </w:p>
    <w:p>
      <w:pPr>
        <w:pStyle w:val="Compact"/>
        <w:numPr>
          <w:ilvl w:val="0"/>
          <w:numId w:val="1001"/>
        </w:numPr>
      </w:pPr>
      <w:r>
        <w:t xml:space="preserve">Ops LLM selection policy prototype.</w:t>
      </w:r>
    </w:p>
    <w:p>
      <w:pPr>
        <w:pStyle w:val="Compact"/>
        <w:numPr>
          <w:ilvl w:val="0"/>
          <w:numId w:val="1001"/>
        </w:numPr>
      </w:pPr>
      <w:r>
        <w:t xml:space="preserve">AI LLM operation-management structure validation.</w:t>
      </w:r>
    </w:p>
    <w:p>
      <w:pPr>
        <w:pStyle w:val="Compact"/>
        <w:numPr>
          <w:ilvl w:val="0"/>
          <w:numId w:val="1001"/>
        </w:numPr>
      </w:pPr>
      <w:r>
        <w:t xml:space="preserve">Agent registry listing and bounded-action validation.</w:t>
      </w:r>
    </w:p>
    <w:p>
      <w:pPr>
        <w:pStyle w:val="Compact"/>
        <w:numPr>
          <w:ilvl w:val="0"/>
          <w:numId w:val="1001"/>
        </w:numPr>
      </w:pPr>
      <w:r>
        <w:t xml:space="preserve">CPU/GPU VM placement recommendation for AI application workloads.</w:t>
      </w:r>
    </w:p>
    <w:p>
      <w:pPr>
        <w:pStyle w:val="Compact"/>
        <w:numPr>
          <w:ilvl w:val="0"/>
          <w:numId w:val="1001"/>
        </w:numPr>
      </w:pPr>
      <w:r>
        <w:t xml:space="preserve">Kubernetes deployment-plan generation.</w:t>
      </w:r>
    </w:p>
    <w:p>
      <w:pPr>
        <w:pStyle w:val="Compact"/>
        <w:numPr>
          <w:ilvl w:val="0"/>
          <w:numId w:val="1001"/>
        </w:numPr>
      </w:pPr>
      <w:r>
        <w:t xml:space="preserve">Mock deployment dry-run and service-operations readiness reporting.</w:t>
      </w:r>
    </w:p>
    <w:p>
      <w:pPr>
        <w:pStyle w:val="FirstParagraph"/>
      </w:pPr>
      <w:r>
        <w:t xml:space="preserve">Out-of-scope for the default validation path:</w:t>
      </w:r>
    </w:p>
    <w:p>
      <w:pPr>
        <w:pStyle w:val="Compact"/>
        <w:numPr>
          <w:ilvl w:val="0"/>
          <w:numId w:val="1002"/>
        </w:numPr>
      </w:pPr>
      <w:r>
        <w:t xml:space="preserve">Production-ready AIOps operation.</w:t>
      </w:r>
    </w:p>
    <w:p>
      <w:pPr>
        <w:pStyle w:val="Compact"/>
        <w:numPr>
          <w:ilvl w:val="0"/>
          <w:numId w:val="1002"/>
        </w:numPr>
      </w:pPr>
      <w:r>
        <w:t xml:space="preserve">Final standardized LLM benchmark reporting.</w:t>
      </w:r>
    </w:p>
    <w:p>
      <w:pPr>
        <w:pStyle w:val="Compact"/>
        <w:numPr>
          <w:ilvl w:val="0"/>
          <w:numId w:val="1002"/>
        </w:numPr>
      </w:pPr>
      <w:r>
        <w:t xml:space="preserve">Real GPU VM provisioning.</w:t>
      </w:r>
    </w:p>
    <w:p>
      <w:pPr>
        <w:pStyle w:val="Compact"/>
        <w:numPr>
          <w:ilvl w:val="0"/>
          <w:numId w:val="1002"/>
        </w:numPr>
      </w:pPr>
      <w:r>
        <w:t xml:space="preserve">Live Kubernetes mutation by default.</w:t>
      </w:r>
    </w:p>
    <w:p>
      <w:pPr>
        <w:pStyle w:val="Compact"/>
        <w:numPr>
          <w:ilvl w:val="0"/>
          <w:numId w:val="1002"/>
        </w:numPr>
      </w:pPr>
      <w:r>
        <w:t xml:space="preserve">Replacement of CB-Tumblebug or AI-Infra provisioning components.</w:t>
      </w:r>
    </w:p>
    <w:bookmarkEnd w:id="10"/>
    <w:bookmarkStart w:id="11" w:name="functional-requirements"/>
    <w:p>
      <w:pPr>
        <w:pStyle w:val="Heading2"/>
      </w:pPr>
      <w:r>
        <w:t xml:space="preserve">3.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Provide an Ops LLM selection policy prototype based on JSON-defined candidate roles and policy weights.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Provide Go API/CLI commands for policy-based LLM candidate ranking.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Provide agent registry listing, single-agent lookup, and bounded-action validation.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Recommend CPU/GPU VM placement based on accelerator requirement, SLO, throughput, cost, and capacity.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Generate Kubernetes deployment/control plans for selected AI application resources.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Generate an integrated service-operations readiness report that combines LLM selection, placement recommendation, deployment-plan generation, agent review, mock dry-run, and guard-readiness validation.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Expose the main functions through an Echo-based Go HTTP API.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Provide an OpenAPI contract for the service-control API.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bookmarkEnd w:id="11"/>
    <w:bookmarkStart w:id="12" w:name="non-functional-requirements"/>
    <w:p>
      <w:pPr>
        <w:pStyle w:val="Heading2"/>
      </w:pPr>
      <w:r>
        <w:t xml:space="preserve">4.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Keep the implementation Go-centered for the submission/demo path.</w:t>
            </w:r>
          </w:p>
        </w:tc>
        <w:tc>
          <w:tcPr/>
          <w:p>
            <w:pPr>
              <w:pStyle w:val="Compact"/>
            </w:pPr>
            <w:r>
              <w:t xml:space="preserve">Aligns with the development-language requirement and avoids mixed-language prototype ambiguity.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Keep LLM, agent, and placement policies reproducible through JSON configuration.</w:t>
            </w:r>
          </w:p>
        </w:tc>
        <w:tc>
          <w:tcPr/>
          <w:p>
            <w:pPr>
              <w:pStyle w:val="Compact"/>
            </w:pPr>
            <w:r>
              <w:t xml:space="preserve">Supports reviewable and repeatable functional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Use mock validation as the default execution path.</w:t>
            </w:r>
          </w:p>
        </w:tc>
        <w:tc>
          <w:tcPr/>
          <w:p>
            <w:pPr>
              <w:pStyle w:val="Compact"/>
            </w:pPr>
            <w:r>
              <w:t xml:space="preserve">Allows local validation without live Kubernetes or GPU VM infrastructure.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Clearly separate prototype validation from production operation.</w:t>
            </w:r>
          </w:p>
        </w:tc>
        <w:tc>
          <w:tcPr/>
          <w:p>
            <w:pPr>
              <w:pStyle w:val="Compact"/>
            </w:pPr>
            <w:r>
              <w:t xml:space="preserve">Prevents the prototype from being represented as an operational production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Clearly separate prototype policy baselines from final benchmark results.</w:t>
            </w:r>
          </w:p>
        </w:tc>
        <w:tc>
          <w:tcPr/>
          <w:p>
            <w:pPr>
              <w:pStyle w:val="Compact"/>
            </w:pPr>
            <w:r>
              <w:t xml:space="preserve">Prevents manually defined LLM policy values from being interpreted as standardized model evaluation results.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Avoid unnecessary external dependencies and non-core experiment runners.</w:t>
            </w:r>
          </w:p>
        </w:tc>
        <w:tc>
          <w:tcPr/>
          <w:p>
            <w:pPr>
              <w:pStyle w:val="Compact"/>
            </w:pPr>
            <w:r>
              <w:t xml:space="preserve">Keeps the repository focused on the assigned research deliverables.</w:t>
            </w:r>
          </w:p>
        </w:tc>
      </w:tr>
    </w:tbl>
    <w:bookmarkEnd w:id="12"/>
    <w:bookmarkStart w:id="13" w:name="submission-artifact-requirements"/>
    <w:p>
      <w:pPr>
        <w:pStyle w:val="Heading2"/>
      </w:pPr>
      <w:r>
        <w:t xml:space="preserve">5. Submission Artifact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Required Artifact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Repository Path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 Source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docs/submission/requirements_definition.md</w:t>
            </w:r>
          </w:p>
        </w:tc>
        <w:tc>
          <w:tcPr/>
          <w:p>
            <w:pPr>
              <w:pStyle w:val="Compact"/>
            </w:pPr>
            <w:r>
              <w:t xml:space="preserve">Must define scope, requirements, validation method, and boundaries.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 Submission Copy</w:t>
            </w:r>
          </w:p>
        </w:tc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docs/submission/requirements_definition.docx</w:t>
            </w:r>
          </w:p>
        </w:tc>
        <w:tc>
          <w:tcPr/>
          <w:p>
            <w:pPr>
              <w:pStyle w:val="Compact"/>
            </w:pPr>
            <w:r>
              <w:t xml:space="preserve">Must be generated from the Markdown source when conversion tooling is available.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  <w:tc>
          <w:tcPr/>
          <w:p>
            <w:pPr>
              <w:pStyle w:val="Compact"/>
            </w:pPr>
            <w:r>
              <w:t xml:space="preserve">Must describe API server execution, endpoints, request examples, and response fields.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Swagger/OpenAPI</w:t>
            </w:r>
          </w:p>
        </w:tc>
        <w:tc>
          <w:tcPr/>
          <w:p>
            <w:pPr>
              <w:pStyle w:val="Compact"/>
            </w:pPr>
            <w:r>
              <w:t xml:space="preserve">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  <w:tc>
          <w:tcPr/>
          <w:p>
            <w:pPr>
              <w:pStyle w:val="Compact"/>
            </w:pPr>
            <w:r>
              <w:t xml:space="preserve">Must describe the HTTP API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 and Usage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docs/submission/install_and_run_guide.md</w:t>
            </w:r>
          </w:p>
        </w:tc>
        <w:tc>
          <w:tcPr/>
          <w:p>
            <w:pPr>
              <w:pStyle w:val="Compact"/>
            </w:pPr>
            <w:r>
              <w:t xml:space="preserve">Must describe Go setup, CLI execution, API execution, mock mode, and expected outputs.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  <w:tc>
          <w:tcPr/>
          <w:p>
            <w:pPr>
              <w:pStyle w:val="Compact"/>
            </w:pPr>
            <w:r>
              <w:t xml:space="preserve">Must describe Go tests, team-validation, expected signals, and log preservation.</w:t>
            </w:r>
          </w:p>
        </w:tc>
      </w:tr>
    </w:tbl>
    <w:bookmarkEnd w:id="13"/>
    <w:bookmarkStart w:id="14" w:name="development-guide-requirements"/>
    <w:p>
      <w:pPr>
        <w:pStyle w:val="Heading2"/>
      </w:pPr>
      <w:r>
        <w:t xml:space="preserve">6. Development Guide Requirements</w:t>
      </w:r>
    </w:p>
    <w:p>
      <w:pPr>
        <w:pStyle w:val="FirstParagraph"/>
      </w:pPr>
      <w:r>
        <w:t xml:space="preserve">The development guide and supporting records must document:</w:t>
      </w:r>
    </w:p>
    <w:p>
      <w:pPr>
        <w:pStyle w:val="Compact"/>
        <w:numPr>
          <w:ilvl w:val="0"/>
          <w:numId w:val="1003"/>
        </w:numPr>
      </w:pPr>
      <w:r>
        <w:t xml:space="preserve">Go language development for API/CLI prototype implementation.</w:t>
      </w:r>
    </w:p>
    <w:p>
      <w:pPr>
        <w:pStyle w:val="Compact"/>
        <w:numPr>
          <w:ilvl w:val="0"/>
          <w:numId w:val="1003"/>
        </w:numPr>
      </w:pPr>
      <w:r>
        <w:t xml:space="preserve">Cross-validation with at least two LLM or coding-agent roles.</w:t>
      </w:r>
    </w:p>
    <w:p>
      <w:pPr>
        <w:pStyle w:val="Compact"/>
        <w:numPr>
          <w:ilvl w:val="0"/>
          <w:numId w:val="1003"/>
        </w:numPr>
      </w:pPr>
      <w:r>
        <w:t xml:space="preserve">Prompt-sharing documentation using cleaned representative prompt templates.</w:t>
      </w:r>
    </w:p>
    <w:p>
      <w:pPr>
        <w:pStyle w:val="Compact"/>
        <w:numPr>
          <w:ilvl w:val="0"/>
          <w:numId w:val="1003"/>
        </w:numPr>
      </w:pPr>
      <w:r>
        <w:t xml:space="preserve">Log and error-message-based validation records.</w:t>
      </w:r>
    </w:p>
    <w:p>
      <w:pPr>
        <w:pStyle w:val="Compact"/>
        <w:numPr>
          <w:ilvl w:val="0"/>
          <w:numId w:val="1003"/>
        </w:numPr>
      </w:pPr>
      <w:r>
        <w:t xml:space="preserve">Human testing and review of generated documents, README links, DOCX existence,</w:t>
      </w:r>
      <w:r>
        <w:t xml:space="preserve"> </w:t>
      </w:r>
      <w:r>
        <w:t xml:space="preserve">and prototype boundary statements.</w:t>
      </w:r>
    </w:p>
    <w:p>
      <w:pPr>
        <w:pStyle w:val="FirstParagraph"/>
      </w:pPr>
      <w:r>
        <w:t xml:space="preserve">Specific LLM vendor names or coding-agent product names must not be invented if</w:t>
      </w:r>
      <w:r>
        <w:t xml:space="preserve"> </w:t>
      </w:r>
      <w:r>
        <w:t xml:space="preserve">their actual use is unknown. Neutral role labels such as</w:t>
      </w:r>
      <w:r>
        <w:t xml:space="preserve"> </w:t>
      </w:r>
      <w:r>
        <w:rPr>
          <w:rStyle w:val="VerbatimChar"/>
        </w:rPr>
        <w:t xml:space="preserve">Agent 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 B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 coding agent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secondary review agent</w:t>
      </w:r>
      <w:r>
        <w:t xml:space="preserve"> </w:t>
      </w:r>
      <w:r>
        <w:t xml:space="preserve">are acceptable for process</w:t>
      </w:r>
      <w:r>
        <w:t xml:space="preserve"> </w:t>
      </w:r>
      <w:r>
        <w:t xml:space="preserve">documentation.</w:t>
      </w:r>
    </w:p>
    <w:bookmarkEnd w:id="14"/>
    <w:bookmarkStart w:id="15" w:name="validation-method"/>
    <w:p>
      <w:pPr>
        <w:pStyle w:val="Heading2"/>
      </w:pPr>
      <w:r>
        <w:t xml:space="preserve">7. Validation Method</w:t>
      </w:r>
    </w:p>
    <w:p>
      <w:pPr>
        <w:pStyle w:val="FirstParagraph"/>
      </w:pPr>
      <w:r>
        <w:t xml:space="preserve">The default validation method is local Go execution:</w:t>
      </w:r>
    </w:p>
    <w:p>
      <w:pPr>
        <w:pStyle w:val="SourceCode"/>
      </w:pPr>
      <w:r>
        <w:rPr>
          <w:rStyle w:val="VerbatimChar"/>
        </w:rPr>
        <w:t xml:space="preserve">cd go/aiops-guard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team-validation</w:t>
      </w:r>
    </w:p>
    <w:p>
      <w:pPr>
        <w:pStyle w:val="FirstParagraph"/>
      </w:pPr>
      <w:r>
        <w:t xml:space="preserve">Expected prototype-level validation signals:</w:t>
      </w:r>
    </w:p>
    <w:p>
      <w:pPr>
        <w:pStyle w:val="SourceCode"/>
      </w:pPr>
      <w:r>
        <w:rPr>
          <w:rStyle w:val="VerbatimChar"/>
        </w:rPr>
        <w:t xml:space="preserve">selected_model = primary-ops-llm</w:t>
      </w:r>
      <w:r>
        <w:br/>
      </w:r>
      <w:r>
        <w:rPr>
          <w:rStyle w:val="VerbatimChar"/>
        </w:rPr>
        <w:t xml:space="preserve">selected_resource = gpu-vm-l4</w:t>
      </w:r>
      <w:r>
        <w:br/>
      </w:r>
      <w:r>
        <w:rPr>
          <w:rStyle w:val="VerbatimChar"/>
        </w:rPr>
        <w:t xml:space="preserve">valid = true</w:t>
      </w:r>
      <w:r>
        <w:br/>
      </w:r>
      <w:r>
        <w:rPr>
          <w:rStyle w:val="VerbatimChar"/>
        </w:rPr>
        <w:t xml:space="preserve">guard_backend = go</w:t>
      </w:r>
      <w:r>
        <w:br/>
      </w:r>
      <w:r>
        <w:rPr>
          <w:rStyle w:val="VerbatimChar"/>
        </w:rPr>
        <w:t xml:space="preserve">guard_validation.valid = true</w:t>
      </w:r>
    </w:p>
    <w:p>
      <w:pPr>
        <w:pStyle w:val="FirstParagraph"/>
      </w:pPr>
      <w:r>
        <w:t xml:space="preserve">The validation confirms functional prototype behavior. It does not prove</w:t>
      </w:r>
      <w:r>
        <w:t xml:space="preserve"> </w:t>
      </w:r>
      <w:r>
        <w:t xml:space="preserve">production performance, standardized LLM benchmark quality, or actual GPU VM</w:t>
      </w:r>
      <w:r>
        <w:t xml:space="preserve"> </w:t>
      </w:r>
      <w:r>
        <w:t xml:space="preserve">provisioning.</w:t>
      </w:r>
    </w:p>
    <w:bookmarkEnd w:id="15"/>
    <w:bookmarkStart w:id="16" w:name="prototype-boundary"/>
    <w:p>
      <w:pPr>
        <w:pStyle w:val="Heading2"/>
      </w:pPr>
      <w:r>
        <w:t xml:space="preserve">8. Prototype Boundary</w:t>
      </w:r>
    </w:p>
    <w:p>
      <w:pPr>
        <w:pStyle w:val="FirstParagraph"/>
      </w:pPr>
      <w:r>
        <w:t xml:space="preserve">The current LLM policy values are manually defined prototype policy baselines in</w:t>
      </w:r>
      <w:r>
        <w:t xml:space="preserve"> </w:t>
      </w:r>
      <w:r>
        <w:rPr>
          <w:rStyle w:val="VerbatimChar"/>
        </w:rPr>
        <w:t xml:space="preserve">config/ops_llm_benchmark.json</w:t>
      </w:r>
      <w:r>
        <w:t xml:space="preserve">. They are not final standardized benchmark</w:t>
      </w:r>
      <w:r>
        <w:t xml:space="preserve"> </w:t>
      </w:r>
      <w:r>
        <w:t xml:space="preserve">results. Final quantitative reporting must regenerate these values through</w:t>
      </w:r>
      <w:r>
        <w:t xml:space="preserve"> </w:t>
      </w:r>
      <w:r>
        <w:t xml:space="preserve">controlled per-model Ops evaluation runs with fixed prompts, fixed datasets,</w:t>
      </w:r>
      <w:r>
        <w:t xml:space="preserve"> </w:t>
      </w:r>
      <w:r>
        <w:t xml:space="preserve">repeatable metrics, and documented scoring rules.</w:t>
      </w:r>
    </w:p>
    <w:p>
      <w:pPr>
        <w:pStyle w:val="BodyText"/>
      </w:pPr>
      <w:r>
        <w:t xml:space="preserve">The CPU/GPU VM placement logic is a recommendation and deployment-plan</w:t>
      </w:r>
      <w:r>
        <w:t xml:space="preserve"> </w:t>
      </w:r>
      <w:r>
        <w:t xml:space="preserve">generation prototype. It does not replace production cloud schedulers,</w:t>
      </w:r>
      <w:r>
        <w:t xml:space="preserve"> </w:t>
      </w:r>
      <w:r>
        <w:t xml:space="preserve">Kubernetes schedulers, GPU device plugins, or CB-Tumblebug provisioning.</w:t>
      </w:r>
    </w:p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 does not mutate a live Kubernetes cluster.</w:t>
      </w:r>
    </w:p>
    <w:bookmarkEnd w:id="16"/>
    <w:bookmarkStart w:id="17" w:name="related-artifacts"/>
    <w:p>
      <w:pPr>
        <w:pStyle w:val="Heading2"/>
      </w:pPr>
      <w:r>
        <w:t xml:space="preserve">9.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submission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docs/core_submission_summary.md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run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docs/submission/install_and_run_guide.md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운영 관리 구조 설계서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docs/deliverables/01_llm_operation_management_design.md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 프로토타입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docs/deliverables/02_agent_registration_management_prototype.md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 추론 최적화 전략 설계서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docs/deliverables/03_ai_application_deployment_control_optimization_strategy.md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policy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optimization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</w:p>
        </w:tc>
      </w:tr>
    </w:tbl>
    <w:bookmarkEnd w:id="17"/>
    <w:bookmarkEnd w:id="18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2026-06-29T04:18:00Z</dcterms:created>
  <dcterms:modified xsi:type="dcterms:W3CDTF">2026-06-29T04:18:00Z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