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ea4c0d2f6085e15bbcce9ef121b581a5b84778"/>
    <w:p>
      <w:pPr>
        <w:pStyle w:val="Heading1"/>
      </w:pPr>
      <w:r>
        <w:t xml:space="preserve">AI Application Deployment and Control Optimization Strategy</w:t>
      </w:r>
    </w:p>
    <w:p>
      <w:pPr>
        <w:pStyle w:val="FirstParagraph"/>
      </w:pPr>
      <w:r>
        <w:t xml:space="preserve">AI 응용 배포·제어 추론 최적화 전략 설계서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describes the AI application deployment and control optimization</w:t>
      </w:r>
      <w:r>
        <w:t xml:space="preserve"> </w:t>
      </w:r>
      <w:r>
        <w:t xml:space="preserve">strategy implemented in the 1st-year Go-based service-control prototype. The</w:t>
      </w:r>
      <w:r>
        <w:t xml:space="preserve"> </w:t>
      </w:r>
      <w:r>
        <w:t xml:space="preserve">purpose is to define how an AI workload can be matched with a CPU/GPU VM</w:t>
      </w:r>
      <w:r>
        <w:t xml:space="preserve"> </w:t>
      </w:r>
      <w:r>
        <w:t xml:space="preserve">candidate based on accelerator requirements, SLO constraints, capacity, and cost</w:t>
      </w:r>
      <w:r>
        <w:t xml:space="preserve"> </w:t>
      </w:r>
      <w:r>
        <w:t xml:space="preserve">policy.</w:t>
      </w:r>
    </w:p>
    <w:p>
      <w:pPr>
        <w:pStyle w:val="BodyText"/>
      </w:pPr>
      <w:r>
        <w:t xml:space="preserve">The document is an official design deliverable source file. It should be</w:t>
      </w:r>
      <w:r>
        <w:t xml:space="preserve"> </w:t>
      </w:r>
      <w:r>
        <w:t xml:space="preserve">reviewed with the inference optimization configuration, Go service-control</w:t>
      </w:r>
      <w:r>
        <w:t xml:space="preserve"> </w:t>
      </w:r>
      <w:r>
        <w:t xml:space="preserve">implementation, API contract, and validation evidence.</w:t>
      </w:r>
    </w:p>
    <w:bookmarkEnd w:id="9"/>
    <w:bookmarkStart w:id="10" w:name="prototype-scope"/>
    <w:p>
      <w:pPr>
        <w:pStyle w:val="Heading2"/>
      </w:pPr>
      <w:r>
        <w:t xml:space="preserve">2. Prototype Scope</w:t>
      </w:r>
    </w:p>
    <w:p>
      <w:pPr>
        <w:pStyle w:val="FirstParagraph"/>
      </w:pPr>
      <w:r>
        <w:t xml:space="preserve">The prototype scope includes:</w:t>
      </w:r>
    </w:p>
    <w:p>
      <w:pPr>
        <w:pStyle w:val="Compact"/>
        <w:numPr>
          <w:ilvl w:val="0"/>
          <w:numId w:val="1001"/>
        </w:numPr>
      </w:pPr>
      <w:r>
        <w:t xml:space="preserve">CPU/GPU VM-based AI application placement recommendation.</w:t>
      </w:r>
    </w:p>
    <w:p>
      <w:pPr>
        <w:pStyle w:val="Compact"/>
        <w:numPr>
          <w:ilvl w:val="0"/>
          <w:numId w:val="1001"/>
        </w:numPr>
      </w:pPr>
      <w:r>
        <w:t xml:space="preserve">AI workload and resource profile definition.</w:t>
      </w:r>
    </w:p>
    <w:p>
      <w:pPr>
        <w:pStyle w:val="Compact"/>
        <w:numPr>
          <w:ilvl w:val="0"/>
          <w:numId w:val="1001"/>
        </w:numPr>
      </w:pPr>
      <w:r>
        <w:t xml:space="preserve">Latency, throughput, cost, and capacity-based scoring.</w:t>
      </w:r>
    </w:p>
    <w:p>
      <w:pPr>
        <w:pStyle w:val="Compact"/>
        <w:numPr>
          <w:ilvl w:val="0"/>
          <w:numId w:val="1001"/>
        </w:numPr>
      </w:pPr>
      <w:r>
        <w:t xml:space="preserve">Kubernetes deployment-plan generation.</w:t>
      </w:r>
    </w:p>
    <w:p>
      <w:pPr>
        <w:pStyle w:val="Compact"/>
        <w:numPr>
          <w:ilvl w:val="0"/>
          <w:numId w:val="1001"/>
        </w:numPr>
      </w:pPr>
      <w:r>
        <w:t xml:space="preserve">Mock dry-run readiness validation.</w:t>
      </w:r>
    </w:p>
    <w:p>
      <w:pPr>
        <w:pStyle w:val="Compact"/>
        <w:numPr>
          <w:ilvl w:val="0"/>
          <w:numId w:val="1001"/>
        </w:numPr>
      </w:pPr>
      <w:r>
        <w:t xml:space="preserve">Future extension toward GPU/NPU and AI semiconductor infrastructure.</w:t>
      </w:r>
    </w:p>
    <w:p>
      <w:pPr>
        <w:pStyle w:val="FirstParagraph"/>
      </w:pPr>
      <w:r>
        <w:t xml:space="preserve">The current implementation is not a replacement for a real GPU scheduler or</w:t>
      </w:r>
      <w:r>
        <w:t xml:space="preserve"> </w:t>
      </w:r>
      <w:r>
        <w:t xml:space="preserve">cloud VM provisioning platform. It is a Go-based recommendation and planning</w:t>
      </w:r>
      <w:r>
        <w:t xml:space="preserve"> </w:t>
      </w:r>
      <w:r>
        <w:t xml:space="preserve">prototype. It demonstrates how deployment-control decisions can be structured</w:t>
      </w:r>
      <w:r>
        <w:t xml:space="preserve"> </w:t>
      </w:r>
      <w:r>
        <w:t xml:space="preserve">before connecting to live Kubernetes nodes, GPU telemetry, CB-Tumblebug VM</w:t>
      </w:r>
      <w:r>
        <w:t xml:space="preserve"> </w:t>
      </w:r>
      <w:r>
        <w:t xml:space="preserve">inventory, or AI semiconductor cluster managers.</w:t>
      </w:r>
    </w:p>
    <w:bookmarkEnd w:id="10"/>
    <w:bookmarkStart w:id="11" w:name="input-configuration"/>
    <w:p>
      <w:pPr>
        <w:pStyle w:val="Heading2"/>
      </w:pPr>
      <w:r>
        <w:t xml:space="preserve">3. Input Configuration</w:t>
      </w:r>
    </w:p>
    <w:p>
      <w:pPr>
        <w:pStyle w:val="FirstParagraph"/>
      </w:pPr>
      <w:r>
        <w:t xml:space="preserve">The placement policy is maintained in:</w:t>
      </w:r>
    </w:p>
    <w:p>
      <w:pPr>
        <w:pStyle w:val="SourceCode"/>
      </w:pPr>
      <w:r>
        <w:rPr>
          <w:rStyle w:val="VerbatimChar"/>
        </w:rPr>
        <w:t xml:space="preserve">config/inference_optimization.json</w:t>
      </w:r>
    </w:p>
    <w:p>
      <w:pPr>
        <w:pStyle w:val="FirstParagraph"/>
      </w:pPr>
      <w:r>
        <w:t xml:space="preserve">The configuration contains two main sections: resources and workloads. The</w:t>
      </w:r>
      <w:r>
        <w:t xml:space="preserve"> </w:t>
      </w:r>
      <w:r>
        <w:t xml:space="preserve">resources section describes CPU/GPU VM candidates, expected latency, throughput,</w:t>
      </w:r>
      <w:r>
        <w:t xml:space="preserve"> </w:t>
      </w:r>
      <w:r>
        <w:t xml:space="preserve">cost, available capacity, node selector, resource limits, and supported model</w:t>
      </w:r>
      <w:r>
        <w:t xml:space="preserve"> </w:t>
      </w:r>
      <w:r>
        <w:t xml:space="preserve">types. The workloads section describes AI application requirements such as model</w:t>
      </w:r>
      <w:r>
        <w:t xml:space="preserve"> </w:t>
      </w:r>
      <w:r>
        <w:t xml:space="preserve">type, accelerator need, estimated VRAM, latency SLO, minimum throughput, service</w:t>
      </w:r>
      <w:r>
        <w:t xml:space="preserve"> </w:t>
      </w:r>
      <w:r>
        <w:t xml:space="preserve">name, namespace, container image, and replica count.</w:t>
      </w:r>
    </w:p>
    <w:bookmarkEnd w:id="11"/>
    <w:bookmarkStart w:id="12" w:name="resource-candidates"/>
    <w:p>
      <w:pPr>
        <w:pStyle w:val="Heading2"/>
      </w:pPr>
      <w:r>
        <w:t xml:space="preserve">4. Resource Candidates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Lightweight text classification and embedding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Cost/performance-balanced LLM or vision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gpu-vm-a100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Higher-performance LLM or vision inference</w:t>
            </w:r>
          </w:p>
        </w:tc>
      </w:tr>
    </w:tbl>
    <w:p>
      <w:pPr>
        <w:pStyle w:val="BodyText"/>
      </w:pPr>
      <w:r>
        <w:t xml:space="preserve">These resources are prototype resource profiles. They do not indicate that a</w:t>
      </w:r>
      <w:r>
        <w:t xml:space="preserve"> </w:t>
      </w:r>
      <w:r>
        <w:t xml:space="preserve">real cloud VM has been provisioned in the default validation path.</w:t>
      </w:r>
    </w:p>
    <w:bookmarkEnd w:id="12"/>
    <w:bookmarkStart w:id="13" w:name="workload-profiles"/>
    <w:p>
      <w:pPr>
        <w:pStyle w:val="Heading2"/>
      </w:pPr>
      <w:r>
        <w:t xml:space="preserve">5. Workload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Accelerator 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llm-chat-inference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LLM inference service requiring GPU acceleration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text-classifier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Lightweight text classification service that can run on CPU</w:t>
            </w:r>
          </w:p>
        </w:tc>
      </w:tr>
    </w:tbl>
    <w:bookmarkEnd w:id="13"/>
    <w:bookmarkStart w:id="14" w:name="placement-decision-logic"/>
    <w:p>
      <w:pPr>
        <w:pStyle w:val="Heading2"/>
      </w:pPr>
      <w:r>
        <w:t xml:space="preserve">6. Placement Decision Logic</w:t>
      </w:r>
    </w:p>
    <w:p>
      <w:pPr>
        <w:pStyle w:val="FirstParagraph"/>
      </w:pPr>
      <w:r>
        <w:t xml:space="preserve">The placement decision logic performs the following steps:</w:t>
      </w:r>
    </w:p>
    <w:p>
      <w:pPr>
        <w:pStyle w:val="Compact"/>
        <w:numPr>
          <w:ilvl w:val="0"/>
          <w:numId w:val="1002"/>
        </w:numPr>
      </w:pPr>
      <w:r>
        <w:t xml:space="preserve">Check whether the workload requires an accelerator.</w:t>
      </w:r>
    </w:p>
    <w:p>
      <w:pPr>
        <w:pStyle w:val="Compact"/>
        <w:numPr>
          <w:ilvl w:val="0"/>
          <w:numId w:val="1002"/>
        </w:numPr>
      </w:pPr>
      <w:r>
        <w:t xml:space="preserve">Check whether the resource supports the workload model type.</w:t>
      </w:r>
    </w:p>
    <w:p>
      <w:pPr>
        <w:pStyle w:val="Compact"/>
        <w:numPr>
          <w:ilvl w:val="0"/>
          <w:numId w:val="1002"/>
        </w:numPr>
      </w:pPr>
      <w:r>
        <w:t xml:space="preserve">Check GPU memory requirements when GPU/NPU resources are used.</w:t>
      </w:r>
    </w:p>
    <w:p>
      <w:pPr>
        <w:pStyle w:val="Compact"/>
        <w:numPr>
          <w:ilvl w:val="0"/>
          <w:numId w:val="1002"/>
        </w:numPr>
      </w:pPr>
      <w:r>
        <w:t xml:space="preserve">Check latency SLO.</w:t>
      </w:r>
    </w:p>
    <w:p>
      <w:pPr>
        <w:pStyle w:val="Compact"/>
        <w:numPr>
          <w:ilvl w:val="0"/>
          <w:numId w:val="1002"/>
        </w:numPr>
      </w:pPr>
      <w:r>
        <w:t xml:space="preserve">Check minimum throughput requirement.</w:t>
      </w:r>
    </w:p>
    <w:p>
      <w:pPr>
        <w:pStyle w:val="Compact"/>
        <w:numPr>
          <w:ilvl w:val="0"/>
          <w:numId w:val="1002"/>
        </w:numPr>
      </w:pPr>
      <w:r>
        <w:t xml:space="preserve">Check available capacity.</w:t>
      </w:r>
    </w:p>
    <w:p>
      <w:pPr>
        <w:pStyle w:val="Compact"/>
        <w:numPr>
          <w:ilvl w:val="0"/>
          <w:numId w:val="1002"/>
        </w:numPr>
      </w:pPr>
      <w:r>
        <w:t xml:space="preserve">Rank eligible resources using a weighted score.</w:t>
      </w:r>
    </w:p>
    <w:p>
      <w:pPr>
        <w:pStyle w:val="FirstParagraph"/>
      </w:pPr>
      <w:r>
        <w:t xml:space="preserve">Ineligible resources are reported in</w:t>
      </w:r>
      <w:r>
        <w:t xml:space="preserve"> </w:t>
      </w:r>
      <w:r>
        <w:rPr>
          <w:rStyle w:val="VerbatimChar"/>
        </w:rPr>
        <w:t xml:space="preserve">rejected_resources</w:t>
      </w:r>
      <w:r>
        <w:t xml:space="preserve">, which makes the</w:t>
      </w:r>
      <w:r>
        <w:t xml:space="preserve"> </w:t>
      </w:r>
      <w:r>
        <w:t xml:space="preserve">decision auditable.</w:t>
      </w:r>
    </w:p>
    <w:bookmarkEnd w:id="14"/>
    <w:bookmarkStart w:id="15" w:name="scoring-strategy"/>
    <w:p>
      <w:pPr>
        <w:pStyle w:val="Heading2"/>
      </w:pPr>
      <w:r>
        <w:t xml:space="preserve">7. Scoring Strategy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latency_weight * latency_score</w:t>
      </w:r>
      <w:r>
        <w:br/>
      </w:r>
      <w:r>
        <w:rPr>
          <w:rStyle w:val="VerbatimChar"/>
        </w:rPr>
        <w:t xml:space="preserve">+ throughput_weight * throughput_score</w:t>
      </w:r>
      <w:r>
        <w:br/>
      </w:r>
      <w:r>
        <w:rPr>
          <w:rStyle w:val="VerbatimChar"/>
        </w:rPr>
        <w:t xml:space="preserve">+ cost_weight * cost_score</w:t>
      </w:r>
      <w:r>
        <w:br/>
      </w:r>
      <w:r>
        <w:rPr>
          <w:rStyle w:val="VerbatimChar"/>
        </w:rPr>
        <w:t xml:space="preserve">+ capacity_weight * capacity_score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latency_score</w:t>
            </w:r>
          </w:p>
        </w:tc>
        <w:tc>
          <w:tcPr/>
          <w:p>
            <w:pPr>
              <w:pStyle w:val="Compact"/>
            </w:pPr>
            <w:r>
              <w:t xml:space="preserve">Higher when expected latency satisfies the workload SLO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throughput_score</w:t>
            </w:r>
          </w:p>
        </w:tc>
        <w:tc>
          <w:tcPr/>
          <w:p>
            <w:pPr>
              <w:pStyle w:val="Compact"/>
            </w:pPr>
            <w:r>
              <w:t xml:space="preserve">Higher when expected throughput satisfies the minimum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cost_score</w:t>
            </w:r>
          </w:p>
        </w:tc>
        <w:tc>
          <w:tcPr/>
          <w:p>
            <w:pPr>
              <w:pStyle w:val="Compact"/>
            </w:pPr>
            <w:r>
              <w:t xml:space="preserve">Higher when cost is lower among eligible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capacity_score</w:t>
            </w:r>
          </w:p>
        </w:tc>
        <w:tc>
          <w:tcPr/>
          <w:p>
            <w:pPr>
              <w:pStyle w:val="Compact"/>
            </w:pPr>
            <w:r>
              <w:t xml:space="preserve">Higher when more replicas are available</w:t>
            </w:r>
          </w:p>
        </w:tc>
      </w:tr>
    </w:tbl>
    <w:p>
      <w:pPr>
        <w:pStyle w:val="BodyText"/>
      </w:pPr>
      <w:r>
        <w:t xml:space="preserve">Default weights: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</w:tbl>
    <w:bookmarkEnd w:id="15"/>
    <w:bookmarkStart w:id="16" w:name="expected-prototype-results"/>
    <w:p>
      <w:pPr>
        <w:pStyle w:val="Heading2"/>
      </w:pPr>
      <w:r>
        <w:t xml:space="preserve">8. Expected Prototype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Selected Resource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llm-chat-inference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deploy_on_gpu_vm</w:t>
            </w:r>
          </w:p>
        </w:tc>
        <w:tc>
          <w:tcPr/>
          <w:p>
            <w:pPr>
              <w:pStyle w:val="Compact"/>
            </w:pPr>
            <w:r>
              <w:t xml:space="preserve">The workload requires GPU acceleration, and the L4 candidate satisfies the configured SLO and cost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text-classifier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deploy_on_cpu_vm</w:t>
            </w:r>
          </w:p>
        </w:tc>
        <w:tc>
          <w:tcPr/>
          <w:p>
            <w:pPr>
              <w:pStyle w:val="Compact"/>
            </w:pPr>
            <w:r>
              <w:t xml:space="preserve">The workload can satisfy the configured SLO on CPU, making CPU placement more cost-efficient</w:t>
            </w:r>
          </w:p>
        </w:tc>
      </w:tr>
    </w:tbl>
    <w:p>
      <w:pPr>
        <w:pStyle w:val="BodyText"/>
      </w:pPr>
      <w:r>
        <w:t xml:space="preserve">These are expected prototype-level outputs under the current JSON policy. They</w:t>
      </w:r>
      <w:r>
        <w:t xml:space="preserve"> </w:t>
      </w:r>
      <w:r>
        <w:t xml:space="preserve">are not production scheduling guarantees.</w:t>
      </w:r>
    </w:p>
    <w:bookmarkEnd w:id="16"/>
    <w:bookmarkStart w:id="17" w:name="kubernetes-deployment-plan"/>
    <w:p>
      <w:pPr>
        <w:pStyle w:val="Heading2"/>
      </w:pPr>
      <w:r>
        <w:t xml:space="preserve">9. Kubernetes Deployment Plan</w:t>
      </w:r>
    </w:p>
    <w:p>
      <w:pPr>
        <w:pStyle w:val="FirstParagraph"/>
      </w:pPr>
      <w:r>
        <w:t xml:space="preserve">After selecting a resource, the Go service-control API generates a Kubernetes</w:t>
      </w:r>
      <w:r>
        <w:t xml:space="preserve"> </w:t>
      </w:r>
      <w:r>
        <w:t xml:space="preserve">deployment/control plan. The plan includes service name, container image, target</w:t>
      </w:r>
      <w:r>
        <w:t xml:space="preserve"> </w:t>
      </w:r>
      <w:r>
        <w:t xml:space="preserve">resource, target accelerator, namespace, deployment name, replica count, node</w:t>
      </w:r>
      <w:r>
        <w:t xml:space="preserve"> </w:t>
      </w:r>
      <w:r>
        <w:t xml:space="preserve">selector, resource requests, resource limits, control actions, monitoring</w:t>
      </w:r>
      <w:r>
        <w:t xml:space="preserve"> </w:t>
      </w:r>
      <w:r>
        <w:t xml:space="preserve">metrics, and SLO values.</w:t>
      </w:r>
    </w:p>
    <w:p>
      <w:pPr>
        <w:pStyle w:val="BodyText"/>
      </w:pPr>
      <w:r>
        <w:t xml:space="preserve">If the selected resource is a GPU VM, the generated resource limit includes</w:t>
      </w:r>
      <w:r>
        <w:t xml:space="preserve"> </w:t>
      </w:r>
      <w:r>
        <w:rPr>
          <w:rStyle w:val="VerbatimChar"/>
        </w:rPr>
        <w:t xml:space="preserve">nvidia.com/gpu</w:t>
      </w:r>
      <w:r>
        <w:t xml:space="preserve">. The node selector is derived from the selected resource</w:t>
      </w:r>
      <w:r>
        <w:t xml:space="preserve"> </w:t>
      </w:r>
      <w:r>
        <w:t xml:space="preserve">profile so that the deployment plan can later be mapped to accelerator-aware</w:t>
      </w:r>
      <w:r>
        <w:t xml:space="preserve"> </w:t>
      </w:r>
      <w:r>
        <w:t xml:space="preserve">Kubernetes scheduling.</w:t>
      </w:r>
    </w:p>
    <w:p>
      <w:pPr>
        <w:pStyle w:val="BodyText"/>
      </w:pPr>
      <w:r>
        <w:t xml:space="preserve">The current prototype generates the deployment plan and mock dry-run readiness</w:t>
      </w:r>
      <w:r>
        <w:t xml:space="preserve"> </w:t>
      </w:r>
      <w:r>
        <w:t xml:space="preserve">output. It does not provision a real GPU VM or mutate a live Kubernetes cluster</w:t>
      </w:r>
      <w:r>
        <w:t xml:space="preserve"> </w:t>
      </w:r>
      <w:r>
        <w:t xml:space="preserve">by default.</w:t>
      </w:r>
    </w:p>
    <w:bookmarkEnd w:id="17"/>
    <w:bookmarkStart w:id="18" w:name="service-control-integration"/>
    <w:p>
      <w:pPr>
        <w:pStyle w:val="Heading2"/>
      </w:pPr>
      <w:r>
        <w:t xml:space="preserve">10. Service-Control Integration</w:t>
      </w:r>
    </w:p>
    <w:p>
      <w:pPr>
        <w:pStyle w:val="SourceCode"/>
      </w:pPr>
      <w:r>
        <w:rPr>
          <w:rStyle w:val="VerbatimChar"/>
        </w:rPr>
        <w:t xml:space="preserve">LLM selection</w:t>
      </w:r>
      <w:r>
        <w:br/>
      </w:r>
      <w:r>
        <w:rPr>
          <w:rStyle w:val="VerbatimChar"/>
        </w:rPr>
        <w:t xml:space="preserve">-&gt; Agent registry validation</w:t>
      </w:r>
      <w:r>
        <w:br/>
      </w:r>
      <w:r>
        <w:rPr>
          <w:rStyle w:val="VerbatimChar"/>
        </w:rPr>
        <w:t xml:space="preserve">-&gt; CPU/GPU VM placement recommendation</w:t>
      </w:r>
      <w:r>
        <w:br/>
      </w:r>
      <w:r>
        <w:rPr>
          <w:rStyle w:val="VerbatimChar"/>
        </w:rPr>
        <w:t xml:space="preserve">-&gt; Kubernetes deployment-plan generation</w:t>
      </w:r>
      <w:r>
        <w:br/>
      </w:r>
      <w:r>
        <w:rPr>
          <w:rStyle w:val="VerbatimChar"/>
        </w:rPr>
        <w:t xml:space="preserve">-&gt; manifest dry-run</w:t>
      </w:r>
      <w:r>
        <w:br/>
      </w:r>
      <w:r>
        <w:rPr>
          <w:rStyle w:val="VerbatimChar"/>
        </w:rPr>
        <w:t xml:space="preserve">-&gt; agent review</w:t>
      </w:r>
      <w:r>
        <w:br/>
      </w:r>
      <w:r>
        <w:rPr>
          <w:rStyle w:val="VerbatimChar"/>
        </w:rPr>
        <w:t xml:space="preserve">-&gt; guard validation</w:t>
      </w:r>
      <w:r>
        <w:br/>
      </w:r>
      <w:r>
        <w:rPr>
          <w:rStyle w:val="VerbatimChar"/>
        </w:rPr>
        <w:t xml:space="preserve">-&gt; service-operations readiness report</w:t>
      </w:r>
    </w:p>
    <w:p>
      <w:pPr>
        <w:pStyle w:val="FirstParagraph"/>
      </w:pPr>
      <w:r>
        <w:t xml:space="preserve">This flow is implemented in the Go service-control API and CLI. The integrated</w:t>
      </w:r>
      <w:r>
        <w:t xml:space="preserve"> </w:t>
      </w:r>
      <w:r>
        <w:t xml:space="preserve">output is intended to show how deployment/control decisions can be combined with</w:t>
      </w:r>
      <w:r>
        <w:t xml:space="preserve"> </w:t>
      </w:r>
      <w:r>
        <w:t xml:space="preserve">LLM policy selection and bounded-action validation.</w:t>
      </w:r>
    </w:p>
    <w:bookmarkEnd w:id="18"/>
    <w:bookmarkStart w:id="19" w:name="cli-validation"/>
    <w:p>
      <w:pPr>
        <w:pStyle w:val="Heading2"/>
      </w:pPr>
      <w:r>
        <w:t xml:space="preserve">11. CLI Validation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recommend-inference-placement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SourceCode"/>
      </w:pPr>
      <w:r>
        <w:rPr>
          <w:rStyle w:val="VerbatimChar"/>
        </w:rPr>
        <w:t xml:space="preserve">go run ./cmd/aiops-service-control plan-inference-deployment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FirstParagraph"/>
      </w:pPr>
      <w:r>
        <w:t xml:space="preserve">Expected prototype-level signal:</w:t>
      </w:r>
    </w:p>
    <w:p>
      <w:pPr>
        <w:pStyle w:val="SourceCode"/>
      </w:pPr>
      <w:r>
        <w:rPr>
          <w:rStyle w:val="VerbatimChar"/>
        </w:rPr>
        <w:t xml:space="preserve">selected_resource = gpu-vm-l4</w:t>
      </w:r>
    </w:p>
    <w:bookmarkEnd w:id="19"/>
    <w:bookmarkStart w:id="20" w:name="design-boundary"/>
    <w:p>
      <w:pPr>
        <w:pStyle w:val="Heading2"/>
      </w:pPr>
      <w:r>
        <w:t xml:space="preserve">12. Design Boundary</w:t>
      </w:r>
    </w:p>
    <w:p>
      <w:pPr>
        <w:pStyle w:val="FirstParagraph"/>
      </w:pPr>
      <w:r>
        <w:t xml:space="preserve">This strategy is a 1st-year prototype design. It does not replace production</w:t>
      </w:r>
      <w:r>
        <w:t xml:space="preserve"> </w:t>
      </w:r>
      <w:r>
        <w:t xml:space="preserve">cloud schedulers, Kubernetes schedulers, GPU device plugins, or CB-Tumblebug</w:t>
      </w:r>
      <w:r>
        <w:t xml:space="preserve"> </w:t>
      </w:r>
      <w:r>
        <w:t xml:space="preserve">resource provisioning. Instead, it defines the decision structure needed before</w:t>
      </w:r>
      <w:r>
        <w:t xml:space="preserve"> </w:t>
      </w:r>
      <w:r>
        <w:t xml:space="preserve">integrating with real AI semiconductor infrastructure. Future work may add live</w:t>
      </w:r>
      <w:r>
        <w:t xml:space="preserve"> </w:t>
      </w:r>
      <w:r>
        <w:t xml:space="preserve">GPU metrics, NPU profiles, Kubernetes node status, multi-cloud VM inventory, and</w:t>
      </w:r>
      <w:r>
        <w:t xml:space="preserve"> </w:t>
      </w:r>
      <w:r>
        <w:t xml:space="preserve">closed-loop control.</w:t>
      </w:r>
    </w:p>
    <w:bookmarkEnd w:id="20"/>
    <w:bookmarkStart w:id="21" w:name="related-artifacts"/>
    <w:p>
      <w:pPr>
        <w:pStyle w:val="Heading2"/>
      </w:pPr>
      <w:r>
        <w:t xml:space="preserve">13. Related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optimization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config/inference_optimization.json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optimization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docs/design/inference_optimization_guide.md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application deployment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docs/design/ai_application_deployment_strategy.md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API/CLI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</w:tbl>
    <w:bookmarkEnd w:id="21"/>
    <w:bookmarkEnd w:id="22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2026-06-29T04:07:07Z</dcterms:created>
  <dcterms:modified xsi:type="dcterms:W3CDTF">2026-06-29T04:07:07Z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