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8" w:name="requirements-definition"/>
    <w:p>
      <w:pPr>
        <w:pStyle w:val="Heading1"/>
      </w:pPr>
      <w:r>
        <w:t xml:space="preserve">Requirements Definition</w:t>
      </w:r>
    </w:p>
    <w:bookmarkStart w:id="9" w:name="document-overview"/>
    <w:p>
      <w:pPr>
        <w:pStyle w:val="Heading2"/>
      </w:pPr>
      <w:r>
        <w:t xml:space="preserve">1. Document Overview</w:t>
      </w:r>
    </w:p>
    <w:p>
      <w:pPr>
        <w:pStyle w:val="FirstParagraph"/>
      </w:pPr>
      <w:r>
        <w:t xml:space="preserve">This document defines the functional, non-functional, submission, development,</w:t>
      </w:r>
      <w:r>
        <w:t xml:space="preserve"> </w:t>
      </w:r>
      <w:r>
        <w:t xml:space="preserve">and validation requirements for the 1st-year Go-based service-control functional</w:t>
      </w:r>
      <w:r>
        <w:t xml:space="preserve"> </w:t>
      </w:r>
      <w:r>
        <w:t xml:space="preserve">prototype. The prototype supports AI LLM operation management, AI agent</w:t>
      </w:r>
      <w:r>
        <w:t xml:space="preserve"> </w:t>
      </w:r>
      <w:r>
        <w:t xml:space="preserve">registration management, CPU/GPU VM placement recommendation, and AI</w:t>
      </w:r>
      <w:r>
        <w:t xml:space="preserve"> </w:t>
      </w:r>
      <w:r>
        <w:t xml:space="preserve">application deployment/control readiness validation.</w:t>
      </w:r>
    </w:p>
    <w:p>
      <w:pPr>
        <w:pStyle w:val="BodyText"/>
      </w:pPr>
      <w:r>
        <w:t xml:space="preserve">The document is maintained as the Markdown source for the requirements</w:t>
      </w:r>
      <w:r>
        <w:t xml:space="preserve"> </w:t>
      </w:r>
      <w:r>
        <w:t xml:space="preserve">definition submission artifact. A DOCX submission copy can be generated from</w:t>
      </w:r>
      <w:r>
        <w:t xml:space="preserve"> </w:t>
      </w:r>
      <w:r>
        <w:t xml:space="preserve">this source by using</w:t>
      </w:r>
      <w:r>
        <w:t xml:space="preserve"> </w:t>
      </w:r>
      <w:r>
        <w:rPr>
          <w:rStyle w:val="VerbatimChar"/>
        </w:rPr>
        <w:t xml:space="preserve">scripts/generate_docx_deliverables.sh</w:t>
      </w:r>
      <w:r>
        <w:t xml:space="preserve"> </w:t>
      </w:r>
      <w:r>
        <w:t xml:space="preserve">or an equivalent</w:t>
      </w:r>
      <w:r>
        <w:t xml:space="preserve"> </w:t>
      </w:r>
      <w:r>
        <w:t xml:space="preserve">Pandoc command.</w:t>
      </w:r>
    </w:p>
    <w:bookmarkEnd w:id="9"/>
    <w:bookmarkStart w:id="10" w:name="project-scope"/>
    <w:p>
      <w:pPr>
        <w:pStyle w:val="Heading2"/>
      </w:pPr>
      <w:r>
        <w:t xml:space="preserve">2. Project Scope</w:t>
      </w:r>
    </w:p>
    <w:p>
      <w:pPr>
        <w:pStyle w:val="FirstParagraph"/>
      </w:pPr>
      <w:r>
        <w:t xml:space="preserve">The project scope is limited to a 1st-year functional prototype. The repository</w:t>
      </w:r>
      <w:r>
        <w:t xml:space="preserve"> </w:t>
      </w:r>
      <w:r>
        <w:t xml:space="preserve">provides Go API/CLI components, JSON configuration files, design deliverables,</w:t>
      </w:r>
      <w:r>
        <w:t xml:space="preserve"> </w:t>
      </w:r>
      <w:r>
        <w:t xml:space="preserve">and validation documents required to demonstrate the assigned service-control</w:t>
      </w:r>
      <w:r>
        <w:t xml:space="preserve"> </w:t>
      </w:r>
      <w:r>
        <w:t xml:space="preserve">research scope.</w:t>
      </w:r>
    </w:p>
    <w:p>
      <w:pPr>
        <w:pStyle w:val="BodyText"/>
      </w:pPr>
      <w:r>
        <w:t xml:space="preserve">Included scope:</w:t>
      </w:r>
    </w:p>
    <w:p>
      <w:pPr>
        <w:pStyle w:val="Compact"/>
        <w:numPr>
          <w:ilvl w:val="0"/>
          <w:numId w:val="1001"/>
        </w:numPr>
      </w:pPr>
      <w:r>
        <w:t xml:space="preserve">Ops LLM selection policy prototype.</w:t>
      </w:r>
    </w:p>
    <w:p>
      <w:pPr>
        <w:pStyle w:val="Compact"/>
        <w:numPr>
          <w:ilvl w:val="0"/>
          <w:numId w:val="1001"/>
        </w:numPr>
      </w:pPr>
      <w:r>
        <w:t xml:space="preserve">AI LLM operation-management structure validation.</w:t>
      </w:r>
    </w:p>
    <w:p>
      <w:pPr>
        <w:pStyle w:val="Compact"/>
        <w:numPr>
          <w:ilvl w:val="0"/>
          <w:numId w:val="1001"/>
        </w:numPr>
      </w:pPr>
      <w:r>
        <w:t xml:space="preserve">Agent registry listing and bounded-action validation.</w:t>
      </w:r>
    </w:p>
    <w:p>
      <w:pPr>
        <w:pStyle w:val="Compact"/>
        <w:numPr>
          <w:ilvl w:val="0"/>
          <w:numId w:val="1001"/>
        </w:numPr>
      </w:pPr>
      <w:r>
        <w:t xml:space="preserve">CPU/GPU VM placement recommendation for AI application workloads.</w:t>
      </w:r>
    </w:p>
    <w:p>
      <w:pPr>
        <w:pStyle w:val="Compact"/>
        <w:numPr>
          <w:ilvl w:val="0"/>
          <w:numId w:val="1001"/>
        </w:numPr>
      </w:pPr>
      <w:r>
        <w:t xml:space="preserve">Kubernetes deployment-plan generation.</w:t>
      </w:r>
    </w:p>
    <w:p>
      <w:pPr>
        <w:pStyle w:val="Compact"/>
        <w:numPr>
          <w:ilvl w:val="0"/>
          <w:numId w:val="1001"/>
        </w:numPr>
      </w:pPr>
      <w:r>
        <w:t xml:space="preserve">Mock deployment dry-run and service-operations readiness reporting.</w:t>
      </w:r>
    </w:p>
    <w:p>
      <w:pPr>
        <w:pStyle w:val="FirstParagraph"/>
      </w:pPr>
      <w:r>
        <w:t xml:space="preserve">Out-of-scope for the default validation path:</w:t>
      </w:r>
    </w:p>
    <w:p>
      <w:pPr>
        <w:pStyle w:val="Compact"/>
        <w:numPr>
          <w:ilvl w:val="0"/>
          <w:numId w:val="1002"/>
        </w:numPr>
      </w:pPr>
      <w:r>
        <w:t xml:space="preserve">Production-ready AIOps operation.</w:t>
      </w:r>
    </w:p>
    <w:p>
      <w:pPr>
        <w:pStyle w:val="Compact"/>
        <w:numPr>
          <w:ilvl w:val="0"/>
          <w:numId w:val="1002"/>
        </w:numPr>
      </w:pPr>
      <w:r>
        <w:t xml:space="preserve">Final standardized LLM benchmark reporting.</w:t>
      </w:r>
    </w:p>
    <w:p>
      <w:pPr>
        <w:pStyle w:val="Compact"/>
        <w:numPr>
          <w:ilvl w:val="0"/>
          <w:numId w:val="1002"/>
        </w:numPr>
      </w:pPr>
      <w:r>
        <w:t xml:space="preserve">Real GPU VM provisioning.</w:t>
      </w:r>
    </w:p>
    <w:p>
      <w:pPr>
        <w:pStyle w:val="Compact"/>
        <w:numPr>
          <w:ilvl w:val="0"/>
          <w:numId w:val="1002"/>
        </w:numPr>
      </w:pPr>
      <w:r>
        <w:t xml:space="preserve">Live Kubernetes mutation by default.</w:t>
      </w:r>
    </w:p>
    <w:p>
      <w:pPr>
        <w:pStyle w:val="Compact"/>
        <w:numPr>
          <w:ilvl w:val="0"/>
          <w:numId w:val="1002"/>
        </w:numPr>
      </w:pPr>
      <w:r>
        <w:t xml:space="preserve">Replacement of CB-Tumblebug or AI-Infra provisioning components.</w:t>
      </w:r>
    </w:p>
    <w:bookmarkEnd w:id="10"/>
    <w:bookmarkStart w:id="11" w:name="functional-requirements"/>
    <w:p>
      <w:pPr>
        <w:pStyle w:val="Heading2"/>
      </w:pPr>
      <w:r>
        <w:t xml:space="preserve">3. Functional Requirements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Functional Requirement</w:t>
            </w:r>
          </w:p>
        </w:tc>
        <w:tc>
          <w:tcPr/>
          <w:p>
            <w:pPr>
              <w:pStyle w:val="Compact"/>
            </w:pPr>
            <w:r>
              <w:t xml:space="preserve">Implementation 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FR-01</w:t>
            </w:r>
          </w:p>
        </w:tc>
        <w:tc>
          <w:tcPr/>
          <w:p>
            <w:pPr>
              <w:pStyle w:val="Compact"/>
            </w:pPr>
            <w:r>
              <w:t xml:space="preserve">Provide an Ops LLM selection policy prototype based on JSON-defined candidate roles and policy weights.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FR-02</w:t>
            </w:r>
          </w:p>
        </w:tc>
        <w:tc>
          <w:tcPr/>
          <w:p>
            <w:pPr>
              <w:pStyle w:val="Compact"/>
            </w:pPr>
            <w:r>
              <w:t xml:space="preserve">Provide Go API/CLI commands for policy-based LLM candidate ranking.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FR-03</w:t>
            </w:r>
          </w:p>
        </w:tc>
        <w:tc>
          <w:tcPr/>
          <w:p>
            <w:pPr>
              <w:pStyle w:val="Compact"/>
            </w:pPr>
            <w:r>
              <w:t xml:space="preserve">Provide agent registry listing, single-agent lookup, and bounded-action validation.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FR-04</w:t>
            </w:r>
          </w:p>
        </w:tc>
        <w:tc>
          <w:tcPr/>
          <w:p>
            <w:pPr>
              <w:pStyle w:val="Compact"/>
            </w:pPr>
            <w:r>
              <w:t xml:space="preserve">Recommend CPU/GPU VM placement based on accelerator requirement, SLO, throughput, cost, and capacity.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FR-05</w:t>
            </w:r>
          </w:p>
        </w:tc>
        <w:tc>
          <w:tcPr/>
          <w:p>
            <w:pPr>
              <w:pStyle w:val="Compact"/>
            </w:pPr>
            <w:r>
              <w:t xml:space="preserve">Generate Kubernetes deployment/control plans for selected AI application resources.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FR-06</w:t>
            </w:r>
          </w:p>
        </w:tc>
        <w:tc>
          <w:tcPr/>
          <w:p>
            <w:pPr>
              <w:pStyle w:val="Compact"/>
            </w:pPr>
            <w:r>
              <w:t xml:space="preserve">Generate an integrated service-operations readiness report that combines LLM selection, placement recommendation, deployment-plan generation, agent review, mock dry-run, and guard-readiness validation.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FR-07</w:t>
            </w:r>
          </w:p>
        </w:tc>
        <w:tc>
          <w:tcPr/>
          <w:p>
            <w:pPr>
              <w:pStyle w:val="Compact"/>
            </w:pPr>
            <w:r>
              <w:t xml:space="preserve">Expose the main functions through an Echo-based Go HTTP API.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FR-08</w:t>
            </w:r>
          </w:p>
        </w:tc>
        <w:tc>
          <w:tcPr/>
          <w:p>
            <w:pPr>
              <w:pStyle w:val="Compact"/>
            </w:pPr>
            <w:r>
              <w:t xml:space="preserve">Provide an OpenAPI contract for the service-control API.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</w:tr>
    </w:tbl>
    <w:bookmarkEnd w:id="11"/>
    <w:bookmarkStart w:id="12" w:name="non-functional-requirements"/>
    <w:p>
      <w:pPr>
        <w:pStyle w:val="Heading2"/>
      </w:pPr>
      <w:r>
        <w:t xml:space="preserve">4. Non-Functional Requirements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Non-Functional Requirement</w:t>
            </w:r>
          </w:p>
        </w:tc>
        <w:tc>
          <w:tcPr/>
          <w:p>
            <w:pPr>
              <w:pStyle w:val="Compact"/>
            </w:pPr>
            <w:r>
              <w:t xml:space="preserve">Rationale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NFR-01</w:t>
            </w:r>
          </w:p>
        </w:tc>
        <w:tc>
          <w:tcPr/>
          <w:p>
            <w:pPr>
              <w:pStyle w:val="Compact"/>
            </w:pPr>
            <w:r>
              <w:t xml:space="preserve">Keep the implementation Go-centered for the submission/demo path.</w:t>
            </w:r>
          </w:p>
        </w:tc>
        <w:tc>
          <w:tcPr/>
          <w:p>
            <w:pPr>
              <w:pStyle w:val="Compact"/>
            </w:pPr>
            <w:r>
              <w:t xml:space="preserve">Aligns with the development-language requirement and avoids mixed-language prototype ambiguity.</w:t>
            </w:r>
          </w:p>
        </w:tc>
      </w:tr>
      <w:tr>
        <w:tc>
          <w:tcPr/>
          <w:p>
            <w:pPr>
              <w:pStyle w:val="Compact"/>
            </w:pPr>
            <w:r>
              <w:t xml:space="preserve">NFR-02</w:t>
            </w:r>
          </w:p>
        </w:tc>
        <w:tc>
          <w:tcPr/>
          <w:p>
            <w:pPr>
              <w:pStyle w:val="Compact"/>
            </w:pPr>
            <w:r>
              <w:t xml:space="preserve">Keep LLM, agent, and placement policies reproducible through JSON configuration.</w:t>
            </w:r>
          </w:p>
        </w:tc>
        <w:tc>
          <w:tcPr/>
          <w:p>
            <w:pPr>
              <w:pStyle w:val="Compact"/>
            </w:pPr>
            <w:r>
              <w:t xml:space="preserve">Supports reviewable and repeatable functional validation.</w:t>
            </w:r>
          </w:p>
        </w:tc>
      </w:tr>
      <w:tr>
        <w:tc>
          <w:tcPr/>
          <w:p>
            <w:pPr>
              <w:pStyle w:val="Compact"/>
            </w:pPr>
            <w:r>
              <w:t xml:space="preserve">NFR-03</w:t>
            </w:r>
          </w:p>
        </w:tc>
        <w:tc>
          <w:tcPr/>
          <w:p>
            <w:pPr>
              <w:pStyle w:val="Compact"/>
            </w:pPr>
            <w:r>
              <w:t xml:space="preserve">Use mock validation as the default execution path.</w:t>
            </w:r>
          </w:p>
        </w:tc>
        <w:tc>
          <w:tcPr/>
          <w:p>
            <w:pPr>
              <w:pStyle w:val="Compact"/>
            </w:pPr>
            <w:r>
              <w:t xml:space="preserve">Allows local validation without live Kubernetes or GPU VM infrastructure.</w:t>
            </w:r>
          </w:p>
        </w:tc>
      </w:tr>
      <w:tr>
        <w:tc>
          <w:tcPr/>
          <w:p>
            <w:pPr>
              <w:pStyle w:val="Compact"/>
            </w:pPr>
            <w:r>
              <w:t xml:space="preserve">NFR-04</w:t>
            </w:r>
          </w:p>
        </w:tc>
        <w:tc>
          <w:tcPr/>
          <w:p>
            <w:pPr>
              <w:pStyle w:val="Compact"/>
            </w:pPr>
            <w:r>
              <w:t xml:space="preserve">Clearly separate prototype validation from production operation.</w:t>
            </w:r>
          </w:p>
        </w:tc>
        <w:tc>
          <w:tcPr/>
          <w:p>
            <w:pPr>
              <w:pStyle w:val="Compact"/>
            </w:pPr>
            <w:r>
              <w:t xml:space="preserve">Prevents the prototype from being represented as a production-ready AIOps platform.</w:t>
            </w:r>
          </w:p>
        </w:tc>
      </w:tr>
      <w:tr>
        <w:tc>
          <w:tcPr/>
          <w:p>
            <w:pPr>
              <w:pStyle w:val="Compact"/>
            </w:pPr>
            <w:r>
              <w:t xml:space="preserve">NFR-05</w:t>
            </w:r>
          </w:p>
        </w:tc>
        <w:tc>
          <w:tcPr/>
          <w:p>
            <w:pPr>
              <w:pStyle w:val="Compact"/>
            </w:pPr>
            <w:r>
              <w:t xml:space="preserve">Clearly separate prototype policy baselines from final benchmark results.</w:t>
            </w:r>
          </w:p>
        </w:tc>
        <w:tc>
          <w:tcPr/>
          <w:p>
            <w:pPr>
              <w:pStyle w:val="Compact"/>
            </w:pPr>
            <w:r>
              <w:t xml:space="preserve">Prevents manually defined LLM policy values from being interpreted as standardized model evaluation results.</w:t>
            </w:r>
          </w:p>
        </w:tc>
      </w:tr>
      <w:tr>
        <w:tc>
          <w:tcPr/>
          <w:p>
            <w:pPr>
              <w:pStyle w:val="Compact"/>
            </w:pPr>
            <w:r>
              <w:t xml:space="preserve">NFR-06</w:t>
            </w:r>
          </w:p>
        </w:tc>
        <w:tc>
          <w:tcPr/>
          <w:p>
            <w:pPr>
              <w:pStyle w:val="Compact"/>
            </w:pPr>
            <w:r>
              <w:t xml:space="preserve">Avoid unnecessary external dependencies and non-core experiment runners.</w:t>
            </w:r>
          </w:p>
        </w:tc>
        <w:tc>
          <w:tcPr/>
          <w:p>
            <w:pPr>
              <w:pStyle w:val="Compact"/>
            </w:pPr>
            <w:r>
              <w:t xml:space="preserve">Keeps the repository focused on the assigned research deliverables.</w:t>
            </w:r>
          </w:p>
        </w:tc>
      </w:tr>
    </w:tbl>
    <w:bookmarkEnd w:id="12"/>
    <w:bookmarkStart w:id="13" w:name="submission-artifact-requirements"/>
    <w:p>
      <w:pPr>
        <w:pStyle w:val="Heading2"/>
      </w:pPr>
      <w:r>
        <w:t xml:space="preserve">5. Submission Artifact Requirements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Required Artifact</w:t>
            </w:r>
          </w:p>
        </w:tc>
        <w:tc>
          <w:tcPr/>
          <w:p>
            <w:pPr>
              <w:pStyle w:val="Compact"/>
            </w:pPr>
            <w:r>
              <w:t xml:space="preserve">Format</w:t>
            </w:r>
          </w:p>
        </w:tc>
        <w:tc>
          <w:tcPr/>
          <w:p>
            <w:pPr>
              <w:pStyle w:val="Compact"/>
            </w:pPr>
            <w:r>
              <w:t xml:space="preserve">Repository Path</w:t>
            </w:r>
          </w:p>
        </w:tc>
        <w:tc>
          <w:tcPr/>
          <w:p>
            <w:pPr>
              <w:pStyle w:val="Compact"/>
            </w:pPr>
            <w:r>
              <w:t xml:space="preserve">Requirement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Requirements Definition Source</w:t>
            </w:r>
          </w:p>
        </w:tc>
        <w:tc>
          <w:tcPr/>
          <w:p>
            <w:pPr>
              <w:pStyle w:val="Compact"/>
            </w:pPr>
            <w:r>
              <w:t xml:space="preserve">Markdown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docs/submission/requirements_definition.md</w:t>
            </w:r>
          </w:p>
        </w:tc>
        <w:tc>
          <w:tcPr/>
          <w:p>
            <w:pPr>
              <w:pStyle w:val="Compact"/>
            </w:pPr>
            <w:r>
              <w:t xml:space="preserve">Must define scope, requirements, validation method, and boundaries.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Requirements Definition Submission Copy</w:t>
            </w:r>
          </w:p>
        </w:tc>
        <w:tc>
          <w:tcPr/>
          <w:p>
            <w:pPr>
              <w:pStyle w:val="Compact"/>
            </w:pPr>
            <w:r>
              <w:t xml:space="preserve">DOCX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docs/submission/requirements_definition.docx</w:t>
            </w:r>
          </w:p>
        </w:tc>
        <w:tc>
          <w:tcPr/>
          <w:p>
            <w:pPr>
              <w:pStyle w:val="Compact"/>
            </w:pPr>
            <w:r>
              <w:t xml:space="preserve">Must be generated from the Markdown source when conversion tooling is available.</w:t>
            </w:r>
          </w:p>
        </w:tc>
      </w:tr>
      <w:tr>
        <w:tc>
          <w:tcPr/>
          <w:p>
            <w:pPr>
              <w:pStyle w:val="Compact"/>
            </w:pPr>
            <w:r>
              <w:t xml:space="preserve">Functional/API Guide</w:t>
            </w:r>
          </w:p>
        </w:tc>
        <w:tc>
          <w:tcPr/>
          <w:p>
            <w:pPr>
              <w:pStyle w:val="Compact"/>
            </w:pPr>
            <w:r>
              <w:t xml:space="preserve">Markdown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docs/submission/functional_api_guide.md</w:t>
            </w:r>
          </w:p>
        </w:tc>
        <w:tc>
          <w:tcPr/>
          <w:p>
            <w:pPr>
              <w:pStyle w:val="Compact"/>
            </w:pPr>
            <w:r>
              <w:t xml:space="preserve">Must describe API server execution, endpoints, request examples, and response fields.</w:t>
            </w:r>
          </w:p>
        </w:tc>
      </w:tr>
      <w:tr>
        <w:tc>
          <w:tcPr/>
          <w:p>
            <w:pPr>
              <w:pStyle w:val="Compact"/>
            </w:pPr>
            <w:r>
              <w:t xml:space="preserve">Swagger/OpenAPI</w:t>
            </w:r>
          </w:p>
        </w:tc>
        <w:tc>
          <w:tcPr/>
          <w:p>
            <w:pPr>
              <w:pStyle w:val="Compact"/>
            </w:pPr>
            <w:r>
              <w:t xml:space="preserve">YAML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docs/submission/openapi_service_control.yaml</w:t>
            </w:r>
          </w:p>
        </w:tc>
        <w:tc>
          <w:tcPr/>
          <w:p>
            <w:pPr>
              <w:pStyle w:val="Compact"/>
            </w:pPr>
            <w:r>
              <w:t xml:space="preserve">Must describe the HTTP API contract.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Installation and Usage Guide</w:t>
            </w:r>
          </w:p>
        </w:tc>
        <w:tc>
          <w:tcPr/>
          <w:p>
            <w:pPr>
              <w:pStyle w:val="Compact"/>
            </w:pPr>
            <w:r>
              <w:t xml:space="preserve">Markdown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docs/submission/install_and_run_guide.md</w:t>
            </w:r>
          </w:p>
        </w:tc>
        <w:tc>
          <w:tcPr/>
          <w:p>
            <w:pPr>
              <w:pStyle w:val="Compact"/>
            </w:pPr>
            <w:r>
              <w:t xml:space="preserve">Must describe Go setup, CLI execution, API execution, mock mode, and expected outputs.</w:t>
            </w:r>
          </w:p>
        </w:tc>
      </w:tr>
      <w:tr>
        <w:tc>
          <w:tcPr/>
          <w:p>
            <w:pPr>
              <w:pStyle w:val="Compact"/>
            </w:pPr>
            <w:r>
              <w:t xml:space="preserve">Test Guide</w:t>
            </w:r>
          </w:p>
        </w:tc>
        <w:tc>
          <w:tcPr/>
          <w:p>
            <w:pPr>
              <w:pStyle w:val="Compact"/>
            </w:pPr>
            <w:r>
              <w:t xml:space="preserve">Markdown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docs/submission/test_guide.md</w:t>
            </w:r>
          </w:p>
        </w:tc>
        <w:tc>
          <w:tcPr/>
          <w:p>
            <w:pPr>
              <w:pStyle w:val="Compact"/>
            </w:pPr>
            <w:r>
              <w:t xml:space="preserve">Must describe Go tests, team-validation, expected signals, and log preservation.</w:t>
            </w:r>
          </w:p>
        </w:tc>
      </w:tr>
    </w:tbl>
    <w:bookmarkEnd w:id="13"/>
    <w:bookmarkStart w:id="14" w:name="development-guide-requirements"/>
    <w:p>
      <w:pPr>
        <w:pStyle w:val="Heading2"/>
      </w:pPr>
      <w:r>
        <w:t xml:space="preserve">6. Development Guide Requirements</w:t>
      </w:r>
    </w:p>
    <w:p>
      <w:pPr>
        <w:pStyle w:val="FirstParagraph"/>
      </w:pPr>
      <w:r>
        <w:t xml:space="preserve">The development guide and supporting records must document:</w:t>
      </w:r>
    </w:p>
    <w:p>
      <w:pPr>
        <w:pStyle w:val="Compact"/>
        <w:numPr>
          <w:ilvl w:val="0"/>
          <w:numId w:val="1003"/>
        </w:numPr>
      </w:pPr>
      <w:r>
        <w:t xml:space="preserve">Go language development for API/CLI prototype implementation.</w:t>
      </w:r>
    </w:p>
    <w:p>
      <w:pPr>
        <w:pStyle w:val="Compact"/>
        <w:numPr>
          <w:ilvl w:val="0"/>
          <w:numId w:val="1003"/>
        </w:numPr>
      </w:pPr>
      <w:r>
        <w:t xml:space="preserve">Cross-validation with at least two LLM or coding-agent roles.</w:t>
      </w:r>
    </w:p>
    <w:p>
      <w:pPr>
        <w:pStyle w:val="Compact"/>
        <w:numPr>
          <w:ilvl w:val="0"/>
          <w:numId w:val="1003"/>
        </w:numPr>
      </w:pPr>
      <w:r>
        <w:t xml:space="preserve">Prompt-sharing documentation using cleaned representative prompt templates.</w:t>
      </w:r>
    </w:p>
    <w:p>
      <w:pPr>
        <w:pStyle w:val="Compact"/>
        <w:numPr>
          <w:ilvl w:val="0"/>
          <w:numId w:val="1003"/>
        </w:numPr>
      </w:pPr>
      <w:r>
        <w:t xml:space="preserve">Log and error-message-based validation records.</w:t>
      </w:r>
    </w:p>
    <w:p>
      <w:pPr>
        <w:pStyle w:val="Compact"/>
        <w:numPr>
          <w:ilvl w:val="0"/>
          <w:numId w:val="1003"/>
        </w:numPr>
      </w:pPr>
      <w:r>
        <w:t xml:space="preserve">Human testing and review of generated documents, README links, DOCX existence,</w:t>
      </w:r>
      <w:r>
        <w:t xml:space="preserve"> </w:t>
      </w:r>
      <w:r>
        <w:t xml:space="preserve">and prototype boundary statements.</w:t>
      </w:r>
    </w:p>
    <w:p>
      <w:pPr>
        <w:pStyle w:val="FirstParagraph"/>
      </w:pPr>
      <w:r>
        <w:t xml:space="preserve">Specific LLM vendor names or coding-agent product names must not be invented if</w:t>
      </w:r>
      <w:r>
        <w:t xml:space="preserve"> </w:t>
      </w:r>
      <w:r>
        <w:t xml:space="preserve">their actual use is unknown. Neutral role labels such as</w:t>
      </w:r>
      <w:r>
        <w:t xml:space="preserve"> </w:t>
      </w:r>
      <w:r>
        <w:rPr>
          <w:rStyle w:val="VerbatimChar"/>
        </w:rPr>
        <w:t xml:space="preserve">Agent A</w:t>
      </w:r>
      <w:r>
        <w:t xml:space="preserve">,</w:t>
      </w:r>
      <w:r>
        <w:t xml:space="preserve"> </w:t>
      </w:r>
      <w:r>
        <w:rPr>
          <w:rStyle w:val="VerbatimChar"/>
        </w:rPr>
        <w:t xml:space="preserve">Agent B</w:t>
      </w:r>
      <w:r>
        <w:t xml:space="preserve">,</w:t>
      </w:r>
      <w:r>
        <w:t xml:space="preserve"> </w:t>
      </w:r>
      <w:r>
        <w:rPr>
          <w:rStyle w:val="VerbatimChar"/>
        </w:rPr>
        <w:t xml:space="preserve">primary coding agent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secondary review agent</w:t>
      </w:r>
      <w:r>
        <w:t xml:space="preserve"> </w:t>
      </w:r>
      <w:r>
        <w:t xml:space="preserve">are acceptable for process</w:t>
      </w:r>
      <w:r>
        <w:t xml:space="preserve"> </w:t>
      </w:r>
      <w:r>
        <w:t xml:space="preserve">documentation.</w:t>
      </w:r>
    </w:p>
    <w:bookmarkEnd w:id="14"/>
    <w:bookmarkStart w:id="15" w:name="validation-method"/>
    <w:p>
      <w:pPr>
        <w:pStyle w:val="Heading2"/>
      </w:pPr>
      <w:r>
        <w:t xml:space="preserve">7. Validation Method</w:t>
      </w:r>
    </w:p>
    <w:p>
      <w:pPr>
        <w:pStyle w:val="FirstParagraph"/>
      </w:pPr>
      <w:r>
        <w:t xml:space="preserve">The default validation method is local Go execution:</w:t>
      </w:r>
    </w:p>
    <w:p>
      <w:pPr>
        <w:pStyle w:val="SourceCode"/>
      </w:pPr>
      <w:r>
        <w:rPr>
          <w:rStyle w:val="VerbatimChar"/>
        </w:rPr>
        <w:t xml:space="preserve">cd go/aiops-guard</w:t>
      </w:r>
      <w:r>
        <w:br/>
      </w:r>
      <w:r>
        <w:rPr>
          <w:rStyle w:val="VerbatimChar"/>
        </w:rPr>
        <w:t xml:space="preserve">go test ./...</w:t>
      </w:r>
    </w:p>
    <w:p>
      <w:pPr>
        <w:pStyle w:val="SourceCode"/>
      </w:pPr>
      <w:r>
        <w:rPr>
          <w:rStyle w:val="VerbatimChar"/>
        </w:rPr>
        <w:t xml:space="preserve">cd go/service-control-api</w:t>
      </w:r>
      <w:r>
        <w:br/>
      </w:r>
      <w:r>
        <w:rPr>
          <w:rStyle w:val="VerbatimChar"/>
        </w:rPr>
        <w:t xml:space="preserve">go test ./...</w:t>
      </w:r>
    </w:p>
    <w:p>
      <w:pPr>
        <w:pStyle w:val="SourceCode"/>
      </w:pPr>
      <w:r>
        <w:rPr>
          <w:rStyle w:val="VerbatimChar"/>
        </w:rPr>
        <w:t xml:space="preserve">cd go/service-control-api</w:t>
      </w:r>
      <w:r>
        <w:br/>
      </w:r>
      <w:r>
        <w:rPr>
          <w:rStyle w:val="VerbatimChar"/>
        </w:rPr>
        <w:t xml:space="preserve">go run ./cmd/aiops-service-control team-validation</w:t>
      </w:r>
    </w:p>
    <w:p>
      <w:pPr>
        <w:pStyle w:val="FirstParagraph"/>
      </w:pPr>
      <w:r>
        <w:t xml:space="preserve">Expected prototype-level validation signals:</w:t>
      </w:r>
    </w:p>
    <w:p>
      <w:pPr>
        <w:pStyle w:val="SourceCode"/>
      </w:pPr>
      <w:r>
        <w:rPr>
          <w:rStyle w:val="VerbatimChar"/>
        </w:rPr>
        <w:t xml:space="preserve">selected_model = primary-ops-llm</w:t>
      </w:r>
      <w:r>
        <w:br/>
      </w:r>
      <w:r>
        <w:rPr>
          <w:rStyle w:val="VerbatimChar"/>
        </w:rPr>
        <w:t xml:space="preserve">selected_resource = gpu-vm-l4</w:t>
      </w:r>
      <w:r>
        <w:br/>
      </w:r>
      <w:r>
        <w:rPr>
          <w:rStyle w:val="VerbatimChar"/>
        </w:rPr>
        <w:t xml:space="preserve">valid = true</w:t>
      </w:r>
      <w:r>
        <w:br/>
      </w:r>
      <w:r>
        <w:rPr>
          <w:rStyle w:val="VerbatimChar"/>
        </w:rPr>
        <w:t xml:space="preserve">guard_backend = go</w:t>
      </w:r>
      <w:r>
        <w:br/>
      </w:r>
      <w:r>
        <w:rPr>
          <w:rStyle w:val="VerbatimChar"/>
        </w:rPr>
        <w:t xml:space="preserve">guard_validation.valid = true</w:t>
      </w:r>
    </w:p>
    <w:p>
      <w:pPr>
        <w:pStyle w:val="FirstParagraph"/>
      </w:pPr>
      <w:r>
        <w:t xml:space="preserve">The validation confirms functional prototype behavior. It does not prove</w:t>
      </w:r>
      <w:r>
        <w:t xml:space="preserve"> </w:t>
      </w:r>
      <w:r>
        <w:t xml:space="preserve">production performance, standardized LLM benchmark quality, or actual GPU VM</w:t>
      </w:r>
      <w:r>
        <w:t xml:space="preserve"> </w:t>
      </w:r>
      <w:r>
        <w:t xml:space="preserve">provisioning.</w:t>
      </w:r>
    </w:p>
    <w:bookmarkEnd w:id="15"/>
    <w:bookmarkStart w:id="16" w:name="prototype-boundary"/>
    <w:p>
      <w:pPr>
        <w:pStyle w:val="Heading2"/>
      </w:pPr>
      <w:r>
        <w:t xml:space="preserve">8. Prototype Boundary</w:t>
      </w:r>
    </w:p>
    <w:p>
      <w:pPr>
        <w:pStyle w:val="FirstParagraph"/>
      </w:pPr>
      <w:r>
        <w:t xml:space="preserve">The current LLM policy values are manually defined prototype policy baselines in</w:t>
      </w:r>
      <w:r>
        <w:t xml:space="preserve"> </w:t>
      </w:r>
      <w:r>
        <w:rPr>
          <w:rStyle w:val="VerbatimChar"/>
        </w:rPr>
        <w:t xml:space="preserve">config/ops_llm_benchmark.json</w:t>
      </w:r>
      <w:r>
        <w:t xml:space="preserve">. They are not final standardized benchmark</w:t>
      </w:r>
      <w:r>
        <w:t xml:space="preserve"> </w:t>
      </w:r>
      <w:r>
        <w:t xml:space="preserve">results. Final quantitative reporting must regenerate these values through</w:t>
      </w:r>
      <w:r>
        <w:t xml:space="preserve"> </w:t>
      </w:r>
      <w:r>
        <w:t xml:space="preserve">controlled per-model Ops evaluation runs with fixed prompts, fixed datasets,</w:t>
      </w:r>
      <w:r>
        <w:t xml:space="preserve"> </w:t>
      </w:r>
      <w:r>
        <w:t xml:space="preserve">repeatable metrics, and documented scoring rules.</w:t>
      </w:r>
    </w:p>
    <w:p>
      <w:pPr>
        <w:pStyle w:val="BodyText"/>
      </w:pPr>
      <w:r>
        <w:t xml:space="preserve">The CPU/GPU VM placement logic is a recommendation and deployment-plan</w:t>
      </w:r>
      <w:r>
        <w:t xml:space="preserve"> </w:t>
      </w:r>
      <w:r>
        <w:t xml:space="preserve">generation prototype. It does not replace production cloud schedulers,</w:t>
      </w:r>
      <w:r>
        <w:t xml:space="preserve"> </w:t>
      </w:r>
      <w:r>
        <w:t xml:space="preserve">Kubernetes schedulers, GPU device plugins, or CB-Tumblebug provisioning.</w:t>
      </w:r>
    </w:p>
    <w:p>
      <w:pPr>
        <w:pStyle w:val="BodyText"/>
      </w:pPr>
      <w:r>
        <w:t xml:space="preserve">The default</w:t>
      </w:r>
      <w:r>
        <w:t xml:space="preserve"> </w:t>
      </w:r>
      <w:r>
        <w:rPr>
          <w:rStyle w:val="VerbatimChar"/>
        </w:rPr>
        <w:t xml:space="preserve">mock</w:t>
      </w:r>
      <w:r>
        <w:t xml:space="preserve"> </w:t>
      </w:r>
      <w:r>
        <w:t xml:space="preserve">mode does not mutate a live Kubernetes cluster.</w:t>
      </w:r>
    </w:p>
    <w:bookmarkEnd w:id="16"/>
    <w:bookmarkStart w:id="17" w:name="related-artifacts"/>
    <w:p>
      <w:pPr>
        <w:pStyle w:val="Heading2"/>
      </w:pPr>
      <w:r>
        <w:t xml:space="preserve">9. Related Artifacts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Artifact</w:t>
            </w:r>
          </w:p>
        </w:tc>
        <w:tc>
          <w:tcPr/>
          <w:p>
            <w:pPr>
              <w:pStyle w:val="Compact"/>
            </w:pPr>
            <w:r>
              <w:t xml:space="preserve">Path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Core submission summary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docs/core_submission_summary.md</w:t>
            </w:r>
          </w:p>
        </w:tc>
      </w:tr>
      <w:tr>
        <w:tc>
          <w:tcPr/>
          <w:p>
            <w:pPr>
              <w:pStyle w:val="Compact"/>
            </w:pPr>
            <w:r>
              <w:t xml:space="preserve">Functional/API guide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docs/submission/functional_api_guide.md</w:t>
            </w:r>
          </w:p>
        </w:tc>
      </w:tr>
      <w:tr>
        <w:tc>
          <w:tcPr/>
          <w:p>
            <w:pPr>
              <w:pStyle w:val="Compact"/>
            </w:pPr>
            <w:r>
              <w:t xml:space="preserve">OpenAPI contract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docs/submission/openapi_service_control.yaml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Install and run guide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docs/submission/install_and_run_guide.md</w:t>
            </w:r>
          </w:p>
        </w:tc>
      </w:tr>
      <w:tr>
        <w:tc>
          <w:tcPr/>
          <w:p>
            <w:pPr>
              <w:pStyle w:val="Compact"/>
            </w:pPr>
            <w:r>
              <w:t xml:space="preserve">Test guide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docs/submission/test_guide.md</w:t>
            </w:r>
          </w:p>
        </w:tc>
      </w:tr>
      <w:tr>
        <w:tc>
          <w:tcPr/>
          <w:p>
            <w:pPr>
              <w:pStyle w:val="Compact"/>
            </w:pPr>
            <w:r>
              <w:t xml:space="preserve">LLM operation-management design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docs/deliverables/01_llm_operation_management_design.md</w:t>
            </w:r>
          </w:p>
        </w:tc>
      </w:tr>
      <w:tr>
        <w:tc>
          <w:tcPr/>
          <w:p>
            <w:pPr>
              <w:pStyle w:val="Compact"/>
            </w:pPr>
            <w:r>
              <w:t xml:space="preserve">Agent registration-management prototype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docs/deliverables/02_agent_registration_management_prototype.md</w:t>
            </w:r>
          </w:p>
        </w:tc>
      </w:tr>
      <w:tr>
        <w:tc>
          <w:tcPr/>
          <w:p>
            <w:pPr>
              <w:pStyle w:val="Compact"/>
            </w:pPr>
            <w:r>
              <w:t xml:space="preserve">AI application deployment/control optimization strategy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docs/deliverables/03_ai_application_deployment_control_optimization_strategy.md</w:t>
            </w:r>
          </w:p>
        </w:tc>
      </w:tr>
      <w:tr>
        <w:tc>
          <w:tcPr/>
          <w:p>
            <w:pPr>
              <w:pStyle w:val="Compact"/>
            </w:pPr>
            <w:r>
              <w:t xml:space="preserve">LLM policy config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config/ops_llm_benchmark.json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Agent registry config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config/agent_registry.json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Inference optimization config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config/inference_optimization.json</w:t>
            </w:r>
          </w:p>
        </w:tc>
      </w:tr>
    </w:tbl>
    <w:bookmarkEnd w:id="17"/>
    <w:bookmarkEnd w:id="18"/>
    <w:sectPr>
      <w:footnotePr>
        <w:numRestart w:val="eachSect"/>
      </w:footnotePr>
      <w:pgSz w:w="12240" w:h="15840"/>
      <w:pgMar w:top="1440" w:bottom="1440" w:left="1440" w:right="144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2026-06-29T04:07:06Z</dcterms:created>
  <dcterms:modified xsi:type="dcterms:W3CDTF">2026-06-29T04:07:06Z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