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AI-MCMP 추론 최적화기 개발 계획 및 연구 방향</w:t>
      </w:r>
    </w:p>
    <w:p>
      <w:pPr>
        <w:pStyle w:val="Subtitle"/>
      </w:pPr>
      <w:r>
        <w:t xml:space="preserve">경희대학교 담당 범위 기반 1차년도 PoC 및 후속 연구 계획</w:t>
      </w:r>
    </w:p>
    <w:p>
      <w:pPr>
        <w:pStyle w:val="Meta"/>
      </w:pPr>
      <w:r>
        <w:rPr>
          <w:b/>
          <w:color w:val="1F4D78"/>
          <w:sz w:val="20"/>
          <w:szCs w:val="20"/>
        </w:rPr>
        <w:t xml:space="preserve">담당 범위: </w:t>
      </w:r>
      <w:r>
        <w:rPr>
          <w:color w:val="555555"/>
          <w:sz w:val="20"/>
          <w:szCs w:val="20"/>
        </w:rPr>
        <w:t xml:space="preserve">AI 응용 컨텍스트 기반 자원 선택, 배포·제어 판단, 운영 피드백 재적용</w:t>
      </w:r>
    </w:p>
    <w:p>
      <w:pPr>
        <w:pStyle w:val="Meta"/>
      </w:pPr>
      <w:r>
        <w:rPr>
          <w:b/>
          <w:color w:val="1F4D78"/>
          <w:sz w:val="20"/>
          <w:szCs w:val="20"/>
        </w:rPr>
        <w:t xml:space="preserve">기준 문서: </w:t>
      </w:r>
      <w:r>
        <w:rPr>
          <w:color w:val="555555"/>
          <w:sz w:val="20"/>
          <w:szCs w:val="20"/>
        </w:rPr>
        <w:t xml:space="preserve">AI-MCMP_KHU_inference_optimizer_scope.md, 업무 담당 범위 조율, 통신 규약</w:t>
      </w:r>
    </w:p>
    <w:p>
      <w:pPr>
        <w:pStyle w:val="Meta"/>
      </w:pPr>
      <w:r>
        <w:rPr>
          <w:b/>
          <w:color w:val="1F4D78"/>
          <w:sz w:val="20"/>
          <w:szCs w:val="20"/>
        </w:rPr>
        <w:t xml:space="preserve">문서 상태: </w:t>
      </w:r>
      <w:r>
        <w:rPr>
          <w:color w:val="555555"/>
          <w:sz w:val="20"/>
          <w:szCs w:val="20"/>
        </w:rPr>
        <w:t xml:space="preserve">구현 전 계획 — 현재 문서화만 수행하며 코드 구현은 보류</w:t>
      </w:r>
    </w:p>
    <w:p>
      <w:pPr>
        <w:pStyle w:val="Meta"/>
      </w:pPr>
      <w:r>
        <w:rPr>
          <w:b/>
          <w:color w:val="1F4D78"/>
          <w:sz w:val="20"/>
          <w:szCs w:val="20"/>
        </w:rPr>
        <w:t xml:space="preserve">작성일: </w:t>
      </w:r>
      <w:r>
        <w:rPr>
          <w:color w:val="555555"/>
          <w:sz w:val="20"/>
          <w:szCs w:val="20"/>
        </w:rPr>
        <w:t xml:space="preserve">2026-08-04</w:t>
      </w:r>
    </w:p>
    <w:tbl>
      <w:tblPr>
        <w:tblW w:w="9360" w:type="dxa"/>
        <w:tblInd w:w="120" w:type="dxa"/>
        <w:tblLayout w:type="fixed"/>
        <w:tblCellMar>
          <w:top w:w="140" w:type="dxa"/>
          <w:bottom w:w="140" w:type="dxa"/>
          <w:start w:w="180" w:type="dxa"/>
          <w:end w:w="180" w:type="dxa"/>
        </w:tblCellMar>
        <w:tblBorders>
          <w:top w:val="single" w:sz="6" w:color="B7C3D0"/>
          <w:left w:val="single" w:sz="6" w:color="B7C3D0"/>
          <w:bottom w:val="single" w:sz="6" w:color="B7C3D0"/>
          <w:right w:val="single" w:sz="6" w:color="B7C3D0"/>
        </w:tblBorders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"/>
            </w:pPr>
            <w:r>
              <w:rPr>
                <w:b/>
                <w:color w:val="0B2545"/>
                <w:sz w:val="22"/>
                <w:szCs w:val="22"/>
              </w:rPr>
              <w:t xml:space="preserve">핵심 정의: 추론 최적화기는 모델 커널을 최적화하는 엔진이 아니라, 응용 요구사항·자원 후보·배포 이력을 바탕으로 배포와 제어 행동을 결정·검증하는 에이전트 모듈이다.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개발 목표와 책임 경계</w:t>
      </w:r>
    </w:p>
    <w:p>
      <w:pPr>
        <w:pStyle w:val="Normal"/>
      </w:pPr>
      <w:r>
        <w:t xml:space="preserve">경희대학교의 최적화기는 AI 응용의 요구사항과 운영 문맥을 이해하여 적절한 자원 형상과 배포 행동을 결정한다. 실제 CSP·리전·VM 생성, 플랫폼 전용 Manifest 변환, 배포 실행은 외부 기관의 책임으로 남긴다.</w:t>
      </w:r>
    </w:p>
    <w:tbl>
      <w:tblPr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6DDE5"/>
          <w:insideV w:val="single" w:sz="4" w:color="D6DDE5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w="30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주체</w:t>
            </w:r>
          </w:p>
        </w:tc>
        <w:tc>
          <w:tcPr>
            <w:tcW w:w="33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담당 범위</w:t>
            </w:r>
          </w:p>
        </w:tc>
        <w:tc>
          <w:tcPr>
            <w:tcW w:w="306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최적화기와의 경계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경희대학교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응용 요구 분석, 자원 형상 추천, 배포·제어 판단, 피드백 재적용</w:t>
            </w:r>
          </w:p>
        </w:tc>
        <w:tc>
          <w:tcPr>
            <w:tcW w:w="3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ApplicationProfile, ResourceRecommendation, DeploymentDecision 생성·활용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이노그리드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AI-App 등록·버전·라이프사이클, 모니터링, Manifest 변환, 배포 실행</w:t>
            </w:r>
          </w:p>
        </w:tc>
        <w:tc>
          <w:tcPr>
            <w:tcW w:w="3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결정 내용을 받아 실행하고 상태·로그·운영 결과 반환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ETRI AI-Infra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자원 가용성, CSP·리전·VM 세부 사양, 실제 VM 생성·제어</w:t>
            </w:r>
          </w:p>
        </w:tc>
        <w:tc>
          <w:tcPr>
            <w:tcW w:w="3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추천 형상을 실제 생성 가능한 인프라로 확정·회신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현재 범위에 포함하지 않는 항목은 LLM 추론 엔진 최적화, 범용 Kubernetes 스케줄러, VM 내부 프로세스 스케줄링, 다중 응용 빈패킹, 실제 클라우드 VM 생성이다.</w:t>
      </w:r>
    </w:p>
    <w:p>
      <w:pPr>
        <w:pStyle w:val="Heading1"/>
      </w:pPr>
      <w:r>
        <w:t xml:space="preserve">2. 목표 처리 흐름</w:t>
      </w:r>
    </w:p>
    <w:tbl>
      <w:tblPr>
        <w:tblW w:w="9360" w:type="dxa"/>
        <w:tblInd w:w="120" w:type="dxa"/>
        <w:tblLayout w:type="fixed"/>
        <w:tblCellMar>
          <w:top w:w="140" w:type="dxa"/>
          <w:bottom w:w="140" w:type="dxa"/>
          <w:start w:w="180" w:type="dxa"/>
          <w:end w:w="180" w:type="dxa"/>
        </w:tblCellMar>
        <w:tblBorders>
          <w:top w:val="single" w:sz="6" w:color="B7C3D0"/>
          <w:left w:val="single" w:sz="6" w:color="B7C3D0"/>
          <w:bottom w:val="single" w:sz="6" w:color="B7C3D0"/>
          <w:right w:val="single" w:sz="6" w:color="B7C3D0"/>
        </w:tblBorders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"/>
            </w:pPr>
            <w:r>
              <w:rPr>
                <w:b/>
                <w:color w:val="0B2545"/>
                <w:sz w:val="22"/>
                <w:szCs w:val="22"/>
              </w:rPr>
              <w:t xml:space="preserve">ApplicationProfile → ResourceRecommendation → 추론 최적화기 → 검증기 → 플랫폼 중립 DeploymentSpec → Manifest Builder/Runtime Adapter → DeploymentFeedback → 경험 저장소 → 다음 판단</w:t>
            </w:r>
          </w:p>
        </w:tc>
      </w:tr>
    </w:tbl>
    <w:p>
      <w:pPr>
        <w:spacing w:after="120"/>
      </w:pPr>
    </w:p>
    <w:p>
      <w:pPr>
        <w:pStyle w:val="Normal"/>
      </w:pPr>
      <w:r>
        <w:t xml:space="preserve">최적화기는 Raw Manifest를 직접 생성하지 않는다. 구조화된 결정과 검증 근거를 반환하고, Manifest는 규칙·템플릿 기반 Builder가 결정론적으로 생성한다.</w:t>
      </w:r>
    </w:p>
    <w:p>
      <w:pPr>
        <w:pStyle w:val="Normal"/>
      </w:pPr>
      <w:r>
        <w:t xml:space="preserve">통신 메시지 흐름은 application.context.created, resource.recommendation.created, deployment.create.request, deployment.status.changed, optimization.feedback.created 순서를 기본으로 한다.</w:t>
      </w:r>
    </w:p>
    <w:p>
      <w:pPr>
        <w:pStyle w:val="Heading1"/>
      </w:pPr>
      <w:r>
        <w:t xml:space="preserve">3. 단계별 개발 계획</w:t>
      </w:r>
    </w:p>
    <w:tbl>
      <w:tblPr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6DDE5"/>
          <w:insideV w:val="single" w:sz="4" w:color="D6DDE5"/>
        </w:tblBorders>
      </w:tblPr>
      <w:tblGrid>
        <w:gridCol w:w="1700"/>
        <w:gridCol w:w="3600"/>
        <w:gridCol w:w="3000"/>
        <w:gridCol w:w="1060"/>
      </w:tblGrid>
      <w:tr>
        <w:trPr>
          <w:tblHeader/>
        </w:trPr>
        <w:tc>
          <w:tcPr>
            <w:tcW w:w="17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단계</w:t>
            </w:r>
          </w:p>
        </w:tc>
        <w:tc>
          <w:tcPr>
            <w:tcW w:w="36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주요 작업</w:t>
            </w:r>
          </w:p>
        </w:tc>
        <w:tc>
          <w:tcPr>
            <w:tcW w:w="30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산출물</w:t>
            </w:r>
          </w:p>
        </w:tc>
        <w:tc>
          <w:tcPr>
            <w:tcW w:w="106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0 계약 정리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ApplicationProfile·ResourceRecommendation·Decision·Feedback 필드와 공통 오류 코드 확정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JSON Schema, OpenAPI 변경안, 호환성 규칙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착수 전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1 기준선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기존 규칙 기반 후보 선택과 Guard를 Decision Planner 기준선으로 고정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재현 가능한 DEPLOY/RETRY/REJECT 판단, 검증 결과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2 피드백 루프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배포 상태·성능 결과 저장, 실패 원인 분류, 동일 오류 재발 방지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DeploymentHistory, FeedbackSummary, 조회 결과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3 복구 판단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OOM·런타임 불일치·자원 부족·일시 오류별 재판단과 재시도 정책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Repair Controller, 재배포 결정, 시도 이력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P0/P1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4 불확실성 연구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후보 신뢰도·상태 최신성·실패 위험·비용·SLO를 반영한 자원 선택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불확실성 점수, 위험 인지 정책, 비교 실험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Phase 5 LLM 비교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LLM Planner를 규칙 기준선과 비교하고 동일 검증기를 통과시킴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Planner 비교 결과, Guard 통과율, 호출 비용</w:t>
            </w:r>
          </w:p>
        </w:tc>
        <w:tc>
          <w:tcPr>
            <w:tcW w:w="10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현재 구현은 Phase 0 이전 상태로 간주한다. 불확실성 인지 선택과 LLM 통합은 기준선과 피드백 루프가 안정화된 뒤 진행한다.</w:t>
      </w:r>
    </w:p>
    <w:p>
      <w:pPr>
        <w:pStyle w:val="Heading1"/>
      </w:pPr>
      <w:r>
        <w:t xml:space="preserve">4. 불확실성 인지 자원 선택 연구</w:t>
      </w:r>
    </w:p>
    <w:p>
      <w:pPr>
        <w:pStyle w:val="Heading2"/>
      </w:pPr>
      <w:r>
        <w:t xml:space="preserve">연구 질문</w:t>
      </w:r>
    </w:p>
    <w:tbl>
      <w:tblPr>
        <w:tblW w:w="9360" w:type="dxa"/>
        <w:tblInd w:w="120" w:type="dxa"/>
        <w:tblLayout w:type="fixed"/>
        <w:tblCellMar>
          <w:top w:w="140" w:type="dxa"/>
          <w:bottom w:w="140" w:type="dxa"/>
          <w:start w:w="180" w:type="dxa"/>
          <w:end w:w="180" w:type="dxa"/>
        </w:tblCellMar>
        <w:tblBorders>
          <w:top w:val="single" w:sz="6" w:color="B7C3D0"/>
          <w:left w:val="single" w:sz="6" w:color="B7C3D0"/>
          <w:bottom w:val="single" w:sz="6" w:color="B7C3D0"/>
          <w:right w:val="single" w:sz="6" w:color="B7C3D0"/>
        </w:tblBorders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"/>
            </w:pPr>
            <w:r>
              <w:rPr>
                <w:b/>
                <w:color w:val="0B2545"/>
                <w:sz w:val="22"/>
                <w:szCs w:val="22"/>
              </w:rPr>
              <w:t xml:space="preserve">후보 자원의 불확실성과 배포 이력을 함께 반영하면 정적 자원 선택보다 최초 배포 성공률과 실패 복구율을 높이고, 불필요한 재시도와 배포 시간을 줄일 수 있는가?</w:t>
            </w:r>
          </w:p>
        </w:tc>
      </w:tr>
    </w:tbl>
    <w:p>
      <w:pPr>
        <w:spacing w:after="120"/>
      </w:pPr>
    </w:p>
    <w:p>
      <w:pPr>
        <w:pStyle w:val="Normal"/>
      </w:pPr>
      <w:r>
        <w:t xml:space="preserve">후보별로 단순한 최고 점수를 선택하는 대신 요구사항 충족 가능성, 관측 신뢰도, 실패 위험, 예상 복구 비용, SLO 여유, 비용을 함께 평가한다.</w:t>
      </w:r>
    </w:p>
    <w:p>
      <w:pPr>
        <w:pStyle w:val="Heading2"/>
      </w:pPr>
      <w:r>
        <w:t xml:space="preserve">불확실성 입력 신호</w:t>
      </w:r>
    </w:p>
    <w:p>
      <w:pPr>
        <w:pStyle w:val="Normal"/>
      </w:pPr>
      <w:r>
        <w:t xml:space="preserve">데이터 최신성, 자원 가용성 변동, 추천 점수와 실제 결과의 차이, 동일 후보의 과거 실패율, 측정되지 않은 성능 정보, 비용·정책 제약을 단계적으로 사용한다.</w:t>
      </w:r>
    </w:p>
    <w:p>
      <w:pPr>
        <w:pStyle w:val="Heading2"/>
      </w:pPr>
      <w:r>
        <w:t xml:space="preserve">연구 단계</w:t>
      </w:r>
    </w:p>
    <w:p>
      <w:pPr>
        <w:pStyle w:val="Normal"/>
        <w:numPr>
          <w:ilvl w:val="0"/>
          <w:numId w:val="2"/>
        </w:numPr>
        <w:ind w:left="720" w:hanging="360"/>
      </w:pPr>
      <w:r>
        <w:t xml:space="preserve">1. 자원 요구사항만 사용하는 정적 규칙 기준선</w:t>
      </w:r>
    </w:p>
    <w:p>
      <w:pPr>
        <w:pStyle w:val="Normal"/>
        <w:numPr>
          <w:ilvl w:val="0"/>
          <w:numId w:val="2"/>
        </w:numPr>
        <w:ind w:left="720" w:hanging="360"/>
      </w:pPr>
      <w:r>
        <w:t xml:space="preserve">2. 후보 점수와 제약조건 검증을 추가한 기준선</w:t>
      </w:r>
    </w:p>
    <w:p>
      <w:pPr>
        <w:pStyle w:val="Normal"/>
        <w:numPr>
          <w:ilvl w:val="0"/>
          <w:numId w:val="2"/>
        </w:numPr>
        <w:ind w:left="720" w:hanging="360"/>
      </w:pPr>
      <w:r>
        <w:t xml:space="preserve">3. 배포 이력과 오류 유형을 추가한 피드백 기반 선택</w:t>
      </w:r>
    </w:p>
    <w:p>
      <w:pPr>
        <w:pStyle w:val="Normal"/>
        <w:numPr>
          <w:ilvl w:val="0"/>
          <w:numId w:val="2"/>
        </w:numPr>
        <w:ind w:left="720" w:hanging="360"/>
      </w:pPr>
      <w:r>
        <w:t xml:space="preserve">4. 후보 신뢰도와 실패 위험을 반영한 불확실성 인지 선택</w:t>
      </w:r>
    </w:p>
    <w:p>
      <w:pPr>
        <w:pStyle w:val="Normal"/>
        <w:numPr>
          <w:ilvl w:val="0"/>
          <w:numId w:val="2"/>
        </w:numPr>
        <w:ind w:left="720" w:hanging="360"/>
      </w:pPr>
      <w:r>
        <w:t xml:space="preserve">5. 동일 검증기를 사용하는 LLM Planner와 비교</w:t>
      </w:r>
    </w:p>
    <w:p>
      <w:pPr>
        <w:pStyle w:val="Heading1"/>
      </w:pPr>
      <w:r>
        <w:t xml:space="preserve">5. 구현 시 사용할 판단 정책</w:t>
      </w:r>
    </w:p>
    <w:tbl>
      <w:tblPr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6DDE5"/>
          <w:insideV w:val="single" w:sz="4" w:color="D6DDE5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w="25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상황</w:t>
            </w:r>
          </w:p>
        </w:tc>
        <w:tc>
          <w:tcPr>
            <w:tcW w:w="30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권장 판단</w:t>
            </w:r>
          </w:p>
        </w:tc>
        <w:tc>
          <w:tcPr>
            <w:tcW w:w="386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모든 필수 조건 충족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추천 수용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제약조건 통과 및 SLO 여유 확인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GPU OOM 이력 존재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더 큰 GPU 또는 대안 자원 요청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같은 후보 재선택 방지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CUDA·런타임 불일치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호환 후보 요청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런타임 필수 조건 우선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일시적 배포 실패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정책 범위 내 재시도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재시도 한도와 멱등성 확인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모든 후보 부족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신규 VM 요청 또는 배포 거절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제약 위반 상태에서 강행 금지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요구사항이 모호함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사용자 추가 질의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추정으로 잘못된 자원 선택 방지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SLO 위반 및 확장 여유 존재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Scale-out 판단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운영 주체가 실행하고 최적화기는 판단만 반환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계약 및 연동 결정 사항</w:t>
      </w:r>
    </w:p>
    <w:p>
      <w:pPr>
        <w:pStyle w:val="Normal"/>
      </w:pPr>
      <w:r>
        <w:t xml:space="preserve">구현 전에 다음 항목을 기관 간 인터페이스로 확정한다.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Action 이름: 현재 저장소의 DEPLOY·RETRY·REJECT와 문서의 ACCEPT_RECOMMENDATION·REQUEST_ALTERNATIVE_RESOURCE·RETRY_DEPLOYMENT 등 세분화된 이름 사이의 호환 매핑을 결정한다.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추천 결과의 수준: 경희대학교가 추상 자원 형상까지만 반환할지, 특정 VM 후보와 resource_hints까지 반환할지 결정한다.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ResourceSnapshot: 가용성, 측정 시각, 관측 출처, 사용률, 신뢰도 필드를 resource.recommendation 또는 별도 메시지로 제공할지 결정한다.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Feedback 오류 코드: 자유 텍스트 message와 별도로 GPU_OOM, CUDA_MISMATCH, RESOURCE_UNAVAILABLE 등 공통 error_code를 제공한다.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호출 위치: 이노그리드가 경희대 최적화기를 별도 서비스로 호출할지, Agent 내부 모듈로 포함할지 결정한다.</w:t>
      </w:r>
    </w:p>
    <w:p>
      <w:pPr>
        <w:pStyle w:val="Heading1"/>
      </w:pPr>
      <w:r>
        <w:t xml:space="preserve">7. 현재 코드와 향후 연결 지점</w:t>
      </w:r>
    </w:p>
    <w:tbl>
      <w:tblPr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6DDE5"/>
          <w:insideV w:val="single" w:sz="4" w:color="D6DDE5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w="30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현재 경로</w:t>
            </w:r>
          </w:p>
        </w:tc>
        <w:tc>
          <w:tcPr>
            <w:tcW w:w="300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역할</w:t>
            </w:r>
          </w:p>
        </w:tc>
        <w:tc>
          <w:tcPr>
            <w:tcW w:w="3360" w:type="dxa"/>
            <w:shd w:fill="E8EEF5"/>
            <w:vAlign w:val="center"/>
          </w:tcPr>
          <w:p>
            <w:pPr>
              <w:pStyle w:val="TableCell"/>
            </w:pPr>
            <w:r>
              <w:rPr>
                <w:b/>
                <w:color w:val="1F4D78"/>
                <w:sz w:val="18"/>
                <w:szCs w:val="18"/>
              </w:rPr>
              <w:t xml:space="preserve">향후 계획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internal/agentcontrol/models.go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공통 메시지·Flow·Decision·Feedback 타입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계약 필드, action, reason_codes, error_code 확장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internal/agentcontrol/service.go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입력 결합, 규칙 기반 판단, Guard, Feedback 수신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Planner·Repair·Experience 흐름 연결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internal/agentcontrol/resource_recommender.go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Mock 자원 후보 점수화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불확실성 입력과 이력 기반 위험 점수 추가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internal/agentcontrol/scaling.go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SLO·사용률 기반 Scale-in/out 판단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후속 연구로 확장하되 실행은 외부 시스템에 위임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internal/api/agent_control_api.go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Common JSON API 수신·응답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pStyle w:val="TableCell"/>
            </w:pPr>
            <w:r>
              <w:rPr>
                <w:color w:val="222222"/>
                <w:sz w:val="18"/>
                <w:szCs w:val="18"/>
              </w:rPr>
              <w:t xml:space="preserve">계약 변경 시 API와 OpenAPI 동시 갱신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새로운 스케줄러나 별도 저장소를 먼저 만들지 않는다. 현재 agentcontrol의 Flow 저장 구조를 기준선으로 활용하고, 여러 실행 간 영속성이 실제 평가 요구가 될 때만 파일 또는 DB 저장을 검토한다.</w:t>
      </w:r>
    </w:p>
    <w:p>
      <w:pPr>
        <w:pStyle w:val="Heading1"/>
      </w:pPr>
      <w:r>
        <w:t xml:space="preserve">8. 평가 지표와 완료 기준</w:t>
      </w:r>
    </w:p>
    <w:p>
      <w:pPr>
        <w:pStyle w:val="Heading2"/>
      </w:pPr>
      <w:r>
        <w:t xml:space="preserve">평가 지표</w:t>
      </w:r>
    </w:p>
    <w:p>
      <w:pPr>
        <w:pStyle w:val="Normal"/>
      </w:pPr>
      <w:r>
        <w:t xml:space="preserve">최초 배포 성공률, 실패 복구율, 동일 오류 재발률, 평균 재시도 횟수, 전체 배포 시간, 제약조건 위반률, 후보 선택 정확도, 판단 지연, 비용 및 불필요한 자원 요청 수를 측정한다.</w:t>
      </w:r>
    </w:p>
    <w:p>
      <w:pPr>
        <w:pStyle w:val="Heading2"/>
      </w:pPr>
      <w:r>
        <w:t xml:space="preserve">완료 기준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동일 입력에 대해 기준선 판단이 재현되어야 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검증에 실패한 후보는 DeploymentSpec 또는 Manifest로 전달되지 않아야 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배포 실패 이력이 다음 후보 선택과 reason_codes에 반영되어야 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불확실성이 높은 경우 대안 요청·사용자 질의·거절 중 안전한 행동을 선택해야 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LLM 제공자가 unavailable인 경우 규칙 기반 기준선으로 안전하게 결과를 반환해야 한다.</w:t>
      </w:r>
    </w:p>
    <w:p>
      <w:pPr>
        <w:pStyle w:val="Normal"/>
        <w:numPr>
          <w:ilvl w:val="0"/>
          <w:numId w:val="1"/>
        </w:numPr>
        <w:ind w:left="720" w:hanging="360"/>
      </w:pPr>
      <w:r>
        <w:t xml:space="preserve">go test ./...와 go vet ./...가 통과하고, 최소 GPU OOM·CUDA 불일치·일시적 실패 시나리오가 자동 검증되어야 한다.</w:t>
      </w:r>
    </w:p>
    <w:p>
      <w:pPr>
        <w:pStyle w:val="Heading1"/>
      </w:pPr>
      <w:r>
        <w:t xml:space="preserve">9. 개발하지 않을 항목</w:t>
      </w:r>
    </w:p>
    <w:p>
      <w:pPr>
        <w:pStyle w:val="Normal"/>
      </w:pPr>
      <w:r>
        <w:t xml:space="preserve">LLM 배치 크기·KV cache·양자화·Tensor Parallel 최적화, 범용 Kubernetes 스케줄러, VM 내부 CPU/GPU 프로세스 제어, 다중 응용 빈패킹, RL 기반 정책, 실제 CSP·리전·VM 생성은 본 계획의 초기 범위에서 제외한다.</w:t>
      </w:r>
    </w:p>
    <w:p>
      <w:pPr>
        <w:pStyle w:val="Heading1"/>
      </w:pPr>
      <w:r>
        <w:t xml:space="preserve">10. 착수 시 첫 번째 구현 시나리오</w:t>
      </w:r>
    </w:p>
    <w:tbl>
      <w:tblPr>
        <w:tblW w:w="9360" w:type="dxa"/>
        <w:tblInd w:w="120" w:type="dxa"/>
        <w:tblLayout w:type="fixed"/>
        <w:tblCellMar>
          <w:top w:w="140" w:type="dxa"/>
          <w:bottom w:w="140" w:type="dxa"/>
          <w:start w:w="180" w:type="dxa"/>
          <w:end w:w="180" w:type="dxa"/>
        </w:tblCellMar>
        <w:tblBorders>
          <w:top w:val="single" w:sz="6" w:color="B7C3D0"/>
          <w:left w:val="single" w:sz="6" w:color="B7C3D0"/>
          <w:bottom w:val="single" w:sz="6" w:color="B7C3D0"/>
          <w:right w:val="single" w:sz="6" w:color="B7C3D0"/>
        </w:tblBorders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"/>
            </w:pPr>
            <w:r>
              <w:rPr>
                <w:b/>
                <w:color w:val="0B2545"/>
                <w:sz w:val="22"/>
                <w:szCs w:val="22"/>
              </w:rPr>
              <w:t xml:space="preserve">GPU OOM 피드백 → 실패 이력 저장 → 동일 후보 제외 → 더 큰 VRAM 후보 선택 또는 대안 요청 → 검증 통과 시 새 DeploymentDecision 생성</w:t>
            </w:r>
          </w:p>
        </w:tc>
      </w:tr>
    </w:tbl>
    <w:p>
      <w:pPr>
        <w:spacing w:after="120"/>
      </w:pPr>
    </w:p>
    <w:p>
      <w:pPr>
        <w:pStyle w:val="Normal"/>
      </w:pPr>
      <w:r>
        <w:t xml:space="preserve">이 시나리오 하나를 기준으로 계약, Planner, Verifier, Feedback, Repair Controller가 끝까지 연결되는지 먼저 검증한다. 이후 CUDA 불일치, 자원 부족, 일시적 오류를 추가한다.</w:t>
      </w:r>
    </w:p>
    <w:sectPr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/>
        <w:color w:val="7A8793"/>
        <w:sz w:val="18"/>
      </w:rPr>
      <w:t>경희대학교 담당 범위 |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Calibri" w:hAnsi="Calibri"/>
        <w:color w:val="7A8793"/>
        <w:sz w:val="18"/>
      </w:rPr>
      <w:t>AI-MCMP | 추론 최적화기 개발 계획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lang w:val="ko-KR"/>
      </w:rPr>
    </w:rPrDefault>
  </w:docDefaults>
  <w:style w:type="paragraph" w:styleId="Normal">
    <w:name w:val="Normal"/>
    <w:rPr>
      <w:rFonts w:ascii="Calibri" w:hAnsi="Calibri" w:eastAsia="맑은 고딕"/>
      <w:sz w:val="22"/>
    </w:rPr>
    <w:pPr>
      <w:spacing w:after="120" w:line="264" w:lineRule="auto"/>
    </w:pPr>
  </w:style>
  <w:style w:type="paragraph" w:styleId="Title">
    <w:name w:val="Title"/>
    <w:rPr>
      <w:rFonts w:ascii="Calibri" w:hAnsi="Calibri" w:eastAsia="맑은 고딕"/>
      <w:b/>
      <w:color w:val="0B2545"/>
      <w:sz w:val="48"/>
    </w:rPr>
    <w:pPr>
      <w:spacing w:before="0" w:after="120"/>
    </w:pPr>
  </w:style>
  <w:style w:type="paragraph" w:styleId="Subtitle">
    <w:name w:val="Subtitle"/>
    <w:rPr>
      <w:rFonts w:ascii="Calibri" w:hAnsi="Calibri" w:eastAsia="맑은 고딕"/>
      <w:color w:val="555555"/>
      <w:sz w:val="28"/>
    </w:rPr>
    <w:pPr>
      <w:spacing w:after="240"/>
    </w:pPr>
  </w:style>
  <w:style w:type="paragraph" w:styleId="Heading1">
    <w:name w:val="heading 1"/>
    <w:basedOn w:val="Normal"/>
    <w:next w:val="Normal"/>
    <w:keepNext/>
    <w:rPr>
      <w:rFonts w:ascii="Calibri" w:hAnsi="Calibri" w:eastAsia="맑은 고딕"/>
      <w:b/>
      <w:color w:val="2E74B5"/>
      <w:sz w:val="32"/>
    </w:rPr>
    <w:pPr>
      <w:spacing w:before="320" w:after="160"/>
    </w:pPr>
  </w:style>
  <w:style w:type="paragraph" w:styleId="Heading2">
    <w:name w:val="heading 2"/>
    <w:basedOn w:val="Normal"/>
    <w:next w:val="Normal"/>
    <w:keepNext/>
    <w:rPr>
      <w:rFonts w:ascii="Calibri" w:hAnsi="Calibri" w:eastAsia="맑은 고딕"/>
      <w:b/>
      <w:color w:val="2E74B5"/>
      <w:sz w:val="26"/>
    </w:rPr>
    <w:pPr>
      <w:spacing w:before="240" w:after="120"/>
    </w:pPr>
  </w:style>
  <w:style w:type="paragraph" w:styleId="Meta">
    <w:name w:val="Metadata"/>
    <w:basedOn w:val="Normal"/>
    <w:rPr>
      <w:rFonts w:ascii="Calibri" w:hAnsi="Calibri" w:eastAsia="맑은 고딕"/>
      <w:sz w:val="20"/>
    </w:rPr>
    <w:pPr>
      <w:spacing w:after="40" w:line="240" w:lineRule="auto"/>
    </w:pPr>
  </w:style>
  <w:style w:type="paragraph" w:styleId="Callout">
    <w:name w:val="Callout"/>
    <w:basedOn w:val="Normal"/>
    <w:rPr>
      <w:rFonts w:ascii="Calibri" w:hAnsi="Calibri" w:eastAsia="맑은 고딕"/>
      <w:sz w:val="22"/>
    </w:rPr>
    <w:pPr>
      <w:spacing w:after="0" w:line="264" w:lineRule="auto"/>
    </w:pPr>
  </w:style>
  <w:style w:type="paragraph" w:styleId="TableCell">
    <w:name w:val="Table Cell"/>
    <w:basedOn w:val="Normal"/>
    <w:rPr>
      <w:rFonts w:ascii="Calibri" w:hAnsi="Calibri" w:eastAsia="맑은 고딕"/>
      <w:sz w:val="18"/>
    </w:rPr>
    <w:pPr>
      <w:spacing w:after="0" w:line="220" w:lineRule="auto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