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ai-응용-배포제어-추론-최적화-전략-설계서"/>
    <w:p>
      <w:pPr>
        <w:pStyle w:val="Heading1"/>
      </w:pPr>
      <w:r>
        <w:t xml:space="preserve">AI 응용 배포·제어 추론 최적화 전략 설계서</w:t>
      </w:r>
    </w:p>
    <w:p>
      <w:pPr>
        <w:pStyle w:val="FirstParagraph"/>
      </w:pPr>
      <w:r>
        <w:t xml:space="preserve">영문 제목: AI Application Deployment and Control Optimization Strategy</w:t>
      </w:r>
    </w:p>
    <w:bookmarkStart w:id="9" w:name="한눈에-보는-구조"/>
    <w:p>
      <w:pPr>
        <w:pStyle w:val="Heading2"/>
      </w:pPr>
      <w:r>
        <w:t xml:space="preserve">1. 한눈에 보는 구조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목적</w:t>
            </w:r>
          </w:p>
        </w:tc>
        <w:tc>
          <w:tcPr/>
          <w:p>
            <w:pPr>
              <w:pStyle w:val="Compact"/>
            </w:pPr>
            <w:r>
              <w:t xml:space="preserve">AI workload 요구사항에 맞는 CPU/GPU VM resource를 선택하고 배포 계획을 생성한다.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config/inference_optimization.json</w:t>
            </w:r>
            <w:r>
              <w:t xml:space="preserve">의 workload와 resource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처리</w:t>
            </w:r>
          </w:p>
        </w:tc>
        <w:tc>
          <w:tcPr/>
          <w:p>
            <w:pPr>
              <w:pStyle w:val="Compact"/>
            </w:pPr>
            <w:r>
              <w:t xml:space="preserve">accelerator, SLO, throughput, cost, capacity 기반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출력</w:t>
            </w:r>
          </w:p>
        </w:tc>
        <w:tc>
          <w:tcPr/>
          <w:p>
            <w:pPr>
              <w:pStyle w:val="Compact"/>
            </w:pPr>
            <w:r>
              <w:t xml:space="preserve">selected resource, deployment action, Kubernetes deployment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검증</w:t>
            </w:r>
          </w:p>
        </w:tc>
        <w:tc>
          <w:tcPr/>
          <w:p>
            <w:pPr>
              <w:pStyle w:val="Compact"/>
            </w:pPr>
            <w:r>
              <w:t xml:space="preserve">Go CLI/API로 placement와 deployment plan을 재현</w:t>
            </w:r>
          </w:p>
        </w:tc>
      </w:tr>
    </w:tbl>
    <w:bookmarkEnd w:id="9"/>
    <w:bookmarkStart w:id="10" w:name="판단-흐름"/>
    <w:p>
      <w:pPr>
        <w:pStyle w:val="Heading2"/>
      </w:pPr>
      <w:r>
        <w:t xml:space="preserve">2. 판단 흐름</w:t>
      </w:r>
    </w:p>
    <w:p>
      <w:pPr>
        <w:pStyle w:val="SourceCode"/>
      </w:pPr>
      <w:r>
        <w:rPr>
          <w:rStyle w:val="VerbatimChar"/>
        </w:rPr>
        <w:t xml:space="preserve">workload requirements</w:t>
      </w:r>
      <w:r>
        <w:br/>
      </w:r>
      <w:r>
        <w:rPr>
          <w:rStyle w:val="VerbatimChar"/>
        </w:rPr>
        <w:t xml:space="preserve">-&gt; resource candidate filtering</w:t>
      </w:r>
      <w:r>
        <w:br/>
      </w:r>
      <w:r>
        <w:rPr>
          <w:rStyle w:val="VerbatimChar"/>
        </w:rPr>
        <w:t xml:space="preserve">-&gt; CPU/GPU placement scoring</w:t>
      </w:r>
      <w:r>
        <w:br/>
      </w:r>
      <w:r>
        <w:rPr>
          <w:rStyle w:val="VerbatimChar"/>
        </w:rPr>
        <w:t xml:space="preserve">-&gt; selected resource</w:t>
      </w:r>
      <w:r>
        <w:br/>
      </w:r>
      <w:r>
        <w:rPr>
          <w:rStyle w:val="VerbatimChar"/>
        </w:rPr>
        <w:t xml:space="preserve">-&gt; Kubernetes deployment plan</w:t>
      </w:r>
      <w:r>
        <w:br/>
      </w:r>
      <w:r>
        <w:rPr>
          <w:rStyle w:val="VerbatimChar"/>
        </w:rPr>
        <w:t xml:space="preserve">-&gt; mock/dry-run readiness</w:t>
      </w:r>
    </w:p>
    <w:bookmarkEnd w:id="10"/>
    <w:bookmarkStart w:id="11" w:name="입력-기준"/>
    <w:p>
      <w:pPr>
        <w:pStyle w:val="Heading2"/>
      </w:pPr>
      <w:r>
        <w:t xml:space="preserve">3. 입력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주요 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model type, accelerator 필요 여부, VRAM, latency SLO, throughput, image, replicas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CPU/GPU type, latency, throughput, cost, capacity, node selector, resource limit</w:t>
            </w:r>
          </w:p>
        </w:tc>
      </w:tr>
    </w:tbl>
    <w:bookmarkEnd w:id="11"/>
    <w:bookmarkStart w:id="12" w:name="배치-판단-규칙"/>
    <w:p>
      <w:pPr>
        <w:pStyle w:val="Heading2"/>
      </w:pPr>
      <w:r>
        <w:t xml:space="preserve">4. 배치 판단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판단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workload가 accelerator를 요구하는지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resource가 model type을 지원하는지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GPU workload인 경우 VRAM 조건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latency SLO와 throughput 요구사항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cost와 capacity를 포함해 score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가장 적합한 resource를 선택하고 제외 사유를 기록</w:t>
            </w:r>
          </w:p>
        </w:tc>
      </w:tr>
    </w:tbl>
    <w:bookmarkEnd w:id="12"/>
    <w:bookmarkStart w:id="13" w:name="resource-예시"/>
    <w:p>
      <w:pPr>
        <w:pStyle w:val="Heading2"/>
      </w:pPr>
      <w:r>
        <w:t xml:space="preserve">5. Resource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Accelerator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cpu-vm-standard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경량 text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gpu-vm-l4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비용/성능 균형형 LLM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gpu-vm-a100</w:t>
            </w:r>
          </w:p>
        </w:tc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고성능 LLM 또는 vision inference</w:t>
            </w:r>
          </w:p>
        </w:tc>
      </w:tr>
    </w:tbl>
    <w:bookmarkEnd w:id="13"/>
    <w:bookmarkStart w:id="14" w:name="기대-결과"/>
    <w:p>
      <w:pPr>
        <w:pStyle w:val="Heading2"/>
      </w:pPr>
      <w:r>
        <w:t xml:space="preserve">6. 기대 결과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선택 resource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llm-chat-inference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gpu-vm-l4</w:t>
            </w:r>
          </w:p>
        </w:tc>
        <w:tc>
          <w:tcPr/>
          <w:p>
            <w:pPr>
              <w:pStyle w:val="Compact"/>
            </w:pPr>
            <w:r>
              <w:t xml:space="preserve">GPU가 필요하고 SLO와 비용 균형을 만족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text-classifier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cpu-vm-standard</w:t>
            </w:r>
          </w:p>
        </w:tc>
        <w:tc>
          <w:tcPr/>
          <w:p>
            <w:pPr>
              <w:pStyle w:val="Compact"/>
            </w:pPr>
            <w:r>
              <w:t xml:space="preserve">CPU로도 요구 SLO를 만족</w:t>
            </w:r>
          </w:p>
        </w:tc>
      </w:tr>
    </w:tbl>
    <w:bookmarkEnd w:id="14"/>
    <w:bookmarkStart w:id="15" w:name="검증-방법"/>
    <w:p>
      <w:pPr>
        <w:pStyle w:val="Heading2"/>
      </w:pPr>
      <w:r>
        <w:t xml:space="preserve">7. 검증 방법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recommend-inference-placement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  <w:r>
        <w:br/>
      </w:r>
      <w:r>
        <w:br/>
      </w:r>
      <w:r>
        <w:rPr>
          <w:rStyle w:val="VerbatimChar"/>
        </w:rPr>
        <w:t xml:space="preserve">go run ./cmd/aiops-service-control plan-inference-deployment \</w:t>
      </w:r>
      <w:r>
        <w:br/>
      </w:r>
      <w:r>
        <w:rPr>
          <w:rStyle w:val="VerbatimChar"/>
        </w:rPr>
        <w:t xml:space="preserve">  --config ../../config/inference_optimization.json \</w:t>
      </w:r>
      <w:r>
        <w:br/>
      </w:r>
      <w:r>
        <w:rPr>
          <w:rStyle w:val="VerbatimChar"/>
        </w:rPr>
        <w:t xml:space="preserve">  --workload llm-chat-inference</w:t>
      </w:r>
    </w:p>
    <w:p>
      <w:pPr>
        <w:pStyle w:val="FirstParagraph"/>
      </w:pPr>
      <w:r>
        <w:t xml:space="preserve">기대 신호:</w:t>
      </w:r>
    </w:p>
    <w:p>
      <w:pPr>
        <w:pStyle w:val="SourceCode"/>
      </w:pPr>
      <w:r>
        <w:rPr>
          <w:rStyle w:val="VerbatimChar"/>
        </w:rPr>
        <w:t xml:space="preserve">selected_resource = gpu-vm-l4</w:t>
      </w:r>
    </w:p>
    <w:bookmarkEnd w:id="15"/>
    <w:bookmarkStart w:id="16" w:name="설계-경계"/>
    <w:p>
      <w:pPr>
        <w:pStyle w:val="Heading2"/>
      </w:pPr>
      <w:r>
        <w:t xml:space="preserve">8. 설계 경계</w:t>
      </w:r>
    </w:p>
    <w:p>
      <w:pPr>
        <w:pStyle w:val="Compact"/>
        <w:numPr>
          <w:ilvl w:val="0"/>
          <w:numId w:val="1001"/>
        </w:numPr>
      </w:pPr>
      <w:r>
        <w:t xml:space="preserve">실제 GPU VM을 생성하는 기능이 아니다.</w:t>
      </w:r>
    </w:p>
    <w:p>
      <w:pPr>
        <w:pStyle w:val="Compact"/>
        <w:numPr>
          <w:ilvl w:val="0"/>
          <w:numId w:val="1001"/>
        </w:numPr>
      </w:pPr>
      <w:r>
        <w:t xml:space="preserve">Kubernetes scheduler, GPU device plugin, CB-Tumblebug provisioning을 대체하지 않는다.</w:t>
      </w:r>
    </w:p>
    <w:p>
      <w:pPr>
        <w:pStyle w:val="Compact"/>
        <w:numPr>
          <w:ilvl w:val="0"/>
          <w:numId w:val="1001"/>
        </w:numPr>
      </w:pPr>
      <w:r>
        <w:t xml:space="preserve">기본 검증은 mock/dry-run이며 live cluster 변경을 전제로 하지 않는다.</w:t>
      </w:r>
    </w:p>
    <w:p>
      <w:pPr>
        <w:pStyle w:val="Compact"/>
        <w:numPr>
          <w:ilvl w:val="0"/>
          <w:numId w:val="1001"/>
        </w:numPr>
      </w:pPr>
      <w:r>
        <w:t xml:space="preserve">실제 AWS GPU VM 검증은 AI-Infra 또는 CB-Tumblebug 연동 환경이 준비된 뒤 수행한다.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2026-06-29T08:11:59Z</dcterms:created>
  <dcterms:modified xsi:type="dcterms:W3CDTF">2026-06-29T08:11:59Z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