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요구사항-정의서"/>
    <w:p>
      <w:pPr>
        <w:pStyle w:val="Heading1"/>
      </w:pPr>
      <w:r>
        <w:t xml:space="preserve">요구사항 정의서</w:t>
      </w:r>
    </w:p>
    <w:p>
      <w:pPr>
        <w:pStyle w:val="FirstParagraph"/>
      </w:pPr>
      <w:r>
        <w:t xml:space="preserve">영문 제목: Requirements Definition</w:t>
      </w:r>
    </w:p>
    <w:bookmarkStart w:id="9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본 문서는 1차년도</w:t>
      </w:r>
      <w:r>
        <w:t xml:space="preserve"> </w:t>
      </w:r>
      <w:r>
        <w:rPr>
          <w:b/>
          <w:bCs/>
        </w:rPr>
        <w:t xml:space="preserve">AI 기반 서비스 제어 및 관리 자동화 프레임워크</w:t>
      </w:r>
      <w:r>
        <w:t xml:space="preserve">가 갖추어야 할 필수 요구사항을 정의합니다. 구현 결과 나열이 아니라, 과제 수행과 프로토타입 검증을 위해 필요한 조건을 정리합니다.</w:t>
      </w:r>
    </w:p>
    <w:bookmarkEnd w:id="9"/>
    <w:bookmarkStart w:id="10" w:name="핵심-요구-범위"/>
    <w:p>
      <w:pPr>
        <w:pStyle w:val="Heading2"/>
      </w:pPr>
      <w:r>
        <w:t xml:space="preserve">2. 핵심 요구 범위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요구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운영 관리</w:t>
            </w:r>
          </w:p>
        </w:tc>
        <w:tc>
          <w:tcPr/>
          <w:p>
            <w:pPr>
              <w:pStyle w:val="Compact"/>
            </w:pPr>
            <w:r>
              <w:t xml:space="preserve">Ops 분석 시험을 위한 LLM 후보, 선정 기준, 운영 관리 흐름을 정의해야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등록 관리</w:t>
            </w:r>
          </w:p>
        </w:tc>
        <w:tc>
          <w:tcPr/>
          <w:p>
            <w:pPr>
              <w:pStyle w:val="Compact"/>
            </w:pPr>
            <w:r>
              <w:t xml:space="preserve">AI 에이전트의 역할, 책임, 허용 action 경계를 관리해야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응용 배포·제어</w:t>
            </w:r>
          </w:p>
        </w:tc>
        <w:tc>
          <w:tcPr/>
          <w:p>
            <w:pPr>
              <w:pStyle w:val="Compact"/>
            </w:pPr>
            <w:r>
              <w:t xml:space="preserve">CPU/GPU VM 기반으로 AI workload 배치와 배포 계획을 판단해야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 방식</w:t>
            </w:r>
          </w:p>
        </w:tc>
        <w:tc>
          <w:tcPr/>
          <w:p>
            <w:pPr>
              <w:pStyle w:val="Compact"/>
            </w:pPr>
            <w:r>
              <w:t xml:space="preserve">로컬 Go API/CLI로 반복 가능한 검증 결과를 생성해야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외부 연동 경계</w:t>
            </w:r>
          </w:p>
        </w:tc>
        <w:tc>
          <w:tcPr/>
          <w:p>
            <w:pPr>
              <w:pStyle w:val="Compact"/>
            </w:pPr>
            <w:r>
              <w:t xml:space="preserve">실제 GPU VM 생성과 CB-Tumblebug 연동은 기본 로컬 검증 범위 밖으로 둔다.</w:t>
            </w:r>
          </w:p>
        </w:tc>
      </w:tr>
    </w:tbl>
    <w:bookmarkEnd w:id="10"/>
    <w:bookmarkStart w:id="11" w:name="기능-요구사항"/>
    <w:p>
      <w:pPr>
        <w:pStyle w:val="Heading2"/>
      </w:pPr>
      <w:r>
        <w:t xml:space="preserve">3. 기능 요구사항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요구사항</w:t>
            </w:r>
          </w:p>
        </w:tc>
        <w:tc>
          <w:tcPr/>
          <w:p>
            <w:pPr>
              <w:pStyle w:val="Compact"/>
            </w:pPr>
            <w:r>
              <w:t xml:space="preserve">수용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</w:t>
            </w:r>
          </w:p>
        </w:tc>
        <w:tc>
          <w:tcPr/>
          <w:p>
            <w:pPr>
              <w:pStyle w:val="Compact"/>
            </w:pPr>
            <w:r>
              <w:t xml:space="preserve">Ops LLM 후보와 선정 policy를 정의해야 한다.</w:t>
            </w:r>
          </w:p>
        </w:tc>
        <w:tc>
          <w:tcPr/>
          <w:p>
            <w:pPr>
              <w:pStyle w:val="Compact"/>
            </w:pPr>
            <w:r>
              <w:t xml:space="preserve">candidate, metric, weight가 설정으로 분리되고 ranking 결과를 산출해야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t xml:space="preserve">LLM 선정 결과를 설명 가능하게 제공해야 한다.</w:t>
            </w:r>
          </w:p>
        </w:tc>
        <w:tc>
          <w:tcPr/>
          <w:p>
            <w:pPr>
              <w:pStyle w:val="Compact"/>
            </w:pPr>
            <w:r>
              <w:t xml:space="preserve">선택 candidate, score, ranking, 선정 사유가 포함되어야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t xml:space="preserve">AI 에이전트 registry를 제공해야 한다.</w:t>
            </w:r>
          </w:p>
        </w:tc>
        <w:tc>
          <w:tcPr/>
          <w:p>
            <w:pPr>
              <w:pStyle w:val="Compact"/>
            </w:pPr>
            <w:r>
              <w:t xml:space="preserve">agent name, role, responsibility, bounded action을 조회할 수 있어야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FR-04</w:t>
            </w:r>
          </w:p>
        </w:tc>
        <w:tc>
          <w:tcPr/>
          <w:p>
            <w:pPr>
              <w:pStyle w:val="Compact"/>
            </w:pPr>
            <w:r>
              <w:t xml:space="preserve">에이전트 action boundary를 검증해야 한다.</w:t>
            </w:r>
          </w:p>
        </w:tc>
        <w:tc>
          <w:tcPr/>
          <w:p>
            <w:pPr>
              <w:pStyle w:val="Compact"/>
            </w:pPr>
            <w:r>
              <w:t xml:space="preserve">허용되지 않은 action은 ready 상태로 처리하지 않아야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t xml:space="preserve">CPU/GPU VM 배치 판단 기준을 제공해야 한다.</w:t>
            </w:r>
          </w:p>
        </w:tc>
        <w:tc>
          <w:tcPr/>
          <w:p>
            <w:pPr>
              <w:pStyle w:val="Compact"/>
            </w:pPr>
            <w:r>
              <w:t xml:space="preserve">accelerator, VRAM, latency SLO, throughput, cost, capacity를 고려해야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FR-06</w:t>
            </w:r>
          </w:p>
        </w:tc>
        <w:tc>
          <w:tcPr/>
          <w:p>
            <w:pPr>
              <w:pStyle w:val="Compact"/>
            </w:pPr>
            <w:r>
              <w:t xml:space="preserve">AI 응용 배포·제어 계획을 생성해야 한다.</w:t>
            </w:r>
          </w:p>
        </w:tc>
        <w:tc>
          <w:tcPr/>
          <w:p>
            <w:pPr>
              <w:pStyle w:val="Compact"/>
            </w:pPr>
            <w:r>
              <w:t xml:space="preserve">선택 resource, deployment, node selector, resource limit, monitoring metric이 포함되어야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FR-07</w:t>
            </w:r>
          </w:p>
        </w:tc>
        <w:tc>
          <w:tcPr/>
          <w:p>
            <w:pPr>
              <w:pStyle w:val="Compact"/>
            </w:pPr>
            <w:r>
              <w:t xml:space="preserve">통합 서비스 운영 준비도 결과를 제공해야 한다.</w:t>
            </w:r>
          </w:p>
        </w:tc>
        <w:tc>
          <w:tcPr/>
          <w:p>
            <w:pPr>
              <w:pStyle w:val="Compact"/>
            </w:pPr>
            <w:r>
              <w:t xml:space="preserve">LLM 선정, agent 검증, 배치 판단, 배포 계획, guard 검증 결과를 함께 보고해야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FR-08</w:t>
            </w:r>
          </w:p>
        </w:tc>
        <w:tc>
          <w:tcPr/>
          <w:p>
            <w:pPr>
              <w:pStyle w:val="Compact"/>
            </w:pPr>
            <w:r>
              <w:t xml:space="preserve">CLI와 HTTP API를 모두 제공해야 한다.</w:t>
            </w:r>
          </w:p>
        </w:tc>
        <w:tc>
          <w:tcPr/>
          <w:p>
            <w:pPr>
              <w:pStyle w:val="Compact"/>
            </w:pPr>
            <w:r>
              <w:t xml:space="preserve">같은 핵심 기능을 command와 API endpoint로 실행할 수 있어야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API 계약을 표준 형식으로 제공해야 한다.</w:t>
            </w:r>
          </w:p>
        </w:tc>
        <w:tc>
          <w:tcPr/>
          <w:p>
            <w:pPr>
              <w:pStyle w:val="Compact"/>
            </w:pPr>
            <w:r>
              <w:t xml:space="preserve">OpenAPI 또는 Swagger 문서가 제공되어야 한다.</w:t>
            </w:r>
          </w:p>
        </w:tc>
      </w:tr>
    </w:tbl>
    <w:bookmarkEnd w:id="11"/>
    <w:bookmarkStart w:id="12" w:name="비기능-요구사항"/>
    <w:p>
      <w:pPr>
        <w:pStyle w:val="Heading2"/>
      </w:pPr>
      <w:r>
        <w:t xml:space="preserve">4. 비기능 요구사항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요구사항</w:t>
            </w:r>
          </w:p>
        </w:tc>
        <w:tc>
          <w:tcPr/>
          <w:p>
            <w:pPr>
              <w:pStyle w:val="Compact"/>
            </w:pPr>
            <w:r>
              <w:t xml:space="preserve">수용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핵심 구현은 Go 중심이어야 한다.</w:t>
            </w:r>
          </w:p>
        </w:tc>
        <w:tc>
          <w:tcPr/>
          <w:p>
            <w:pPr>
              <w:pStyle w:val="Compact"/>
            </w:pPr>
            <w:r>
              <w:t xml:space="preserve">주요 판단 로직과 API/CLI 실행 경로가 Go module에 있어야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NFR-02</w:t>
            </w:r>
          </w:p>
        </w:tc>
        <w:tc>
          <w:tcPr/>
          <w:p>
            <w:pPr>
              <w:pStyle w:val="Compact"/>
            </w:pPr>
            <w:r>
              <w:t xml:space="preserve">정책과 입력 데이터는 재현 가능해야 한다.</w:t>
            </w:r>
          </w:p>
        </w:tc>
        <w:tc>
          <w:tcPr/>
          <w:p>
            <w:pPr>
              <w:pStyle w:val="Compact"/>
            </w:pPr>
            <w:r>
              <w:t xml:space="preserve">LLM policy, agent registry, VM profile이 설정 파일로 관리되어야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NFR-03</w:t>
            </w:r>
          </w:p>
        </w:tc>
        <w:tc>
          <w:tcPr/>
          <w:p>
            <w:pPr>
              <w:pStyle w:val="Compact"/>
            </w:pPr>
            <w:r>
              <w:t xml:space="preserve">기본 검증은 로컬에서 가능해야 한다.</w:t>
            </w:r>
          </w:p>
        </w:tc>
        <w:tc>
          <w:tcPr/>
          <w:p>
            <w:pPr>
              <w:pStyle w:val="Compact"/>
            </w:pPr>
            <w:r>
              <w:t xml:space="preserve">cloud credential 없이 mock 또는 dry-run 방식으로 검증되어야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NFR-04</w:t>
            </w:r>
          </w:p>
        </w:tc>
        <w:tc>
          <w:tcPr/>
          <w:p>
            <w:pPr>
              <w:pStyle w:val="Compact"/>
            </w:pPr>
            <w:r>
              <w:t xml:space="preserve">prototype과 production을 구분해야 한다.</w:t>
            </w:r>
          </w:p>
        </w:tc>
        <w:tc>
          <w:tcPr/>
          <w:p>
            <w:pPr>
              <w:pStyle w:val="Compact"/>
            </w:pPr>
            <w:r>
              <w:t xml:space="preserve">실제 운영 배포, live cluster 변경, GPU VM 생성을 과장해 표현하지 않아야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NFR-05</w:t>
            </w:r>
          </w:p>
        </w:tc>
        <w:tc>
          <w:tcPr/>
          <w:p>
            <w:pPr>
              <w:pStyle w:val="Compact"/>
            </w:pPr>
            <w:r>
              <w:t xml:space="preserve">benchmark 경계를 명확히 해야 한다.</w:t>
            </w:r>
          </w:p>
        </w:tc>
        <w:tc>
          <w:tcPr/>
          <w:p>
            <w:pPr>
              <w:pStyle w:val="Compact"/>
            </w:pPr>
            <w:r>
              <w:t xml:space="preserve">수동 policy baseline과 최종 정량 benchmark를 구분해야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NFR-06</w:t>
            </w:r>
          </w:p>
        </w:tc>
        <w:tc>
          <w:tcPr/>
          <w:p>
            <w:pPr>
              <w:pStyle w:val="Compact"/>
            </w:pPr>
            <w:r>
              <w:t xml:space="preserve">검증 결과를 추적 가능하게 남겨야 한다.</w:t>
            </w:r>
          </w:p>
        </w:tc>
        <w:tc>
          <w:tcPr/>
          <w:p>
            <w:pPr>
              <w:pStyle w:val="Compact"/>
            </w:pPr>
            <w:r>
              <w:t xml:space="preserve">주요 실행 결과는 JSON 또는 문서화 가능한 출력으로 보존되어야 한다.</w:t>
            </w:r>
          </w:p>
        </w:tc>
      </w:tr>
    </w:tbl>
    <w:bookmarkEnd w:id="12"/>
    <w:bookmarkStart w:id="13" w:name="산출물-요구사항"/>
    <w:p>
      <w:pPr>
        <w:pStyle w:val="Heading2"/>
      </w:pPr>
      <w:r>
        <w:t xml:space="preserve">5. 산출물 요구사항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요구사항 정의서</w:t>
            </w:r>
          </w:p>
        </w:tc>
        <w:tc>
          <w:tcPr/>
          <w:p>
            <w:pPr>
              <w:pStyle w:val="Compact"/>
            </w:pPr>
            <w:r>
              <w:t xml:space="preserve">범위, 기능 요구사항, 비기능 요구사항, 검증 기준, 제외 범위를 정의해야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운영 관리 구조 설계서</w:t>
            </w:r>
          </w:p>
        </w:tc>
        <w:tc>
          <w:tcPr/>
          <w:p>
            <w:pPr>
              <w:pStyle w:val="Compact"/>
            </w:pPr>
            <w:r>
              <w:t xml:space="preserve">LLM 후보 선정 기준과 운영 관리 구조를 설명해야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등록 관리 프로토타입</w:t>
            </w:r>
          </w:p>
        </w:tc>
        <w:tc>
          <w:tcPr/>
          <w:p>
            <w:pPr>
              <w:pStyle w:val="Compact"/>
            </w:pPr>
            <w:r>
              <w:t xml:space="preserve">agent registry와 bounded action 검증 방식을 설명해야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응용 배포·제어 추론 최적화 전략 설계서</w:t>
            </w:r>
          </w:p>
        </w:tc>
        <w:tc>
          <w:tcPr/>
          <w:p>
            <w:pPr>
              <w:pStyle w:val="Compact"/>
            </w:pPr>
            <w:r>
              <w:t xml:space="preserve">CPU/GPU VM 기반 배치 판단과 배포·제어 전략을 설명해야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기능/API 가이드</w:t>
            </w:r>
          </w:p>
        </w:tc>
        <w:tc>
          <w:tcPr/>
          <w:p>
            <w:pPr>
              <w:pStyle w:val="Compact"/>
            </w:pPr>
            <w:r>
              <w:t xml:space="preserve">API 실행 방법과 request/response 구조를 설명해야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 가이드</w:t>
            </w:r>
          </w:p>
        </w:tc>
        <w:tc>
          <w:tcPr/>
          <w:p>
            <w:pPr>
              <w:pStyle w:val="Compact"/>
            </w:pPr>
            <w:r>
              <w:t xml:space="preserve">Go test, team-validation, 실패 로그 보존 방법을 설명해야 한다.</w:t>
            </w:r>
          </w:p>
        </w:tc>
      </w:tr>
    </w:tbl>
    <w:bookmarkEnd w:id="13"/>
    <w:bookmarkStart w:id="14" w:name="검증-기준"/>
    <w:p>
      <w:pPr>
        <w:pStyle w:val="Heading2"/>
      </w:pPr>
      <w:r>
        <w:t xml:space="preserve">6. 검증 기준</w:t>
      </w:r>
    </w:p>
    <w:p>
      <w:pPr>
        <w:pStyle w:val="FirstParagraph"/>
      </w:pPr>
      <w:r>
        <w:t xml:space="preserve">기본 검증은 다음 Go 명령으로 수행할 수 있어야 합니다.</w:t>
      </w:r>
    </w:p>
    <w:p>
      <w:pPr>
        <w:pStyle w:val="SourceCode"/>
      </w:pPr>
      <w:r>
        <w:rPr>
          <w:rStyle w:val="VerbatimChar"/>
        </w:rPr>
        <w:t xml:space="preserve">cd go/aiops-guard</w:t>
      </w:r>
      <w:r>
        <w:br/>
      </w:r>
      <w:r>
        <w:rPr>
          <w:rStyle w:val="VerbatimChar"/>
        </w:rPr>
        <w:t xml:space="preserve">go test ./...</w:t>
      </w:r>
      <w:r>
        <w:br/>
      </w:r>
      <w:r>
        <w:br/>
      </w:r>
      <w:r>
        <w:rPr>
          <w:rStyle w:val="VerbatimChar"/>
        </w:rPr>
        <w:t xml:space="preserve">cd ../service-control-api</w:t>
      </w:r>
      <w:r>
        <w:br/>
      </w:r>
      <w:r>
        <w:rPr>
          <w:rStyle w:val="VerbatimChar"/>
        </w:rPr>
        <w:t xml:space="preserve">go test ./...</w:t>
      </w:r>
      <w:r>
        <w:br/>
      </w:r>
      <w:r>
        <w:rPr>
          <w:rStyle w:val="VerbatimChar"/>
        </w:rPr>
        <w:t xml:space="preserve">go run ./cmd/aiops-service-control team-validation</w:t>
      </w:r>
    </w:p>
    <w:p>
      <w:pPr>
        <w:pStyle w:val="FirstParagraph"/>
      </w:pPr>
      <w:r>
        <w:t xml:space="preserve">기대 신호:</w:t>
      </w:r>
    </w:p>
    <w:p>
      <w:pPr>
        <w:pStyle w:val="SourceCode"/>
      </w:pPr>
      <w:r>
        <w:rPr>
          <w:rStyle w:val="VerbatimChar"/>
        </w:rPr>
        <w:t xml:space="preserve">valid = true</w:t>
      </w:r>
      <w:r>
        <w:br/>
      </w:r>
      <w:r>
        <w:rPr>
          <w:rStyle w:val="VerbatimChar"/>
        </w:rPr>
        <w:t xml:space="preserve">selected_model = primary-ops-llm</w:t>
      </w:r>
      <w:r>
        <w:br/>
      </w:r>
      <w:r>
        <w:rPr>
          <w:rStyle w:val="VerbatimChar"/>
        </w:rPr>
        <w:t xml:space="preserve">selected_resource = gpu-vm-l4</w:t>
      </w:r>
      <w:r>
        <w:br/>
      </w:r>
      <w:r>
        <w:rPr>
          <w:rStyle w:val="VerbatimChar"/>
        </w:rPr>
        <w:t xml:space="preserve">guard_backend = go</w:t>
      </w:r>
      <w:r>
        <w:br/>
      </w:r>
      <w:r>
        <w:rPr>
          <w:rStyle w:val="VerbatimChar"/>
        </w:rPr>
        <w:t xml:space="preserve">guard_validation.valid = true</w:t>
      </w:r>
    </w:p>
    <w:bookmarkEnd w:id="14"/>
    <w:bookmarkStart w:id="15" w:name="제외-및-주의-범위"/>
    <w:p>
      <w:pPr>
        <w:pStyle w:val="Heading2"/>
      </w:pPr>
      <w:r>
        <w:t xml:space="preserve">7. 제외 및 주의 범위</w:t>
      </w:r>
    </w:p>
    <w:p>
      <w:pPr>
        <w:pStyle w:val="Compact"/>
        <w:numPr>
          <w:ilvl w:val="0"/>
          <w:numId w:val="1001"/>
        </w:numPr>
      </w:pPr>
      <w:r>
        <w:t xml:space="preserve">최종 표준 LLM benchmark 결과를 주장하지 않는다.</w:t>
      </w:r>
    </w:p>
    <w:p>
      <w:pPr>
        <w:pStyle w:val="Compact"/>
        <w:numPr>
          <w:ilvl w:val="0"/>
          <w:numId w:val="1001"/>
        </w:numPr>
      </w:pPr>
      <w:r>
        <w:t xml:space="preserve">실제 GPU VM provisioning 완료를 주장하지 않는다.</w:t>
      </w:r>
    </w:p>
    <w:p>
      <w:pPr>
        <w:pStyle w:val="Compact"/>
        <w:numPr>
          <w:ilvl w:val="0"/>
          <w:numId w:val="1001"/>
        </w:numPr>
      </w:pPr>
      <w:r>
        <w:t xml:space="preserve">기본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mode는 live Kubernetes cluster를 변경하지 않는다.</w:t>
      </w:r>
    </w:p>
    <w:p>
      <w:pPr>
        <w:pStyle w:val="Compact"/>
        <w:numPr>
          <w:ilvl w:val="0"/>
          <w:numId w:val="1001"/>
        </w:numPr>
      </w:pPr>
      <w:r>
        <w:t xml:space="preserve">CB-Tumblebug과 AI-Infra는 대체 대상이 아니라 향후 연동 대상이다.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2026-06-29T08:11:59Z</dcterms:created>
  <dcterms:modified xsi:type="dcterms:W3CDTF">2026-06-29T08:11:59Z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