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jpeg" ContentType="image/jpeg"/>
  <Override PartName="/word/media/image5.png" ContentType="image/png"/>
  <Override PartName="/word/media/image4.png" ContentType="image/png"/>
  <Override PartName="/word/media/image3.wmf" ContentType="image/x-wmf"/>
  <Override PartName="/word/media/image2.png" ContentType="image/png"/>
  <Override PartName="/word/media/image1.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p>
      <w:pPr>
        <w:pStyle w:val="Normal"/>
        <w:spacing w:lineRule="auto" w:line="240"/>
        <w:ind w:left="0" w:right="0" w:hanging="0"/>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текстами</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12</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13</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13</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16</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22</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23</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26</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26</w:t>
            </w:r>
          </w:hyperlink>
        </w:p>
        <w:p>
          <w:pPr>
            <w:pStyle w:val="Contents2"/>
            <w:tabs>
              <w:tab w:val="clear" w:pos="468"/>
              <w:tab w:val="right" w:pos="9355" w:leader="dot"/>
            </w:tabs>
            <w:rPr/>
          </w:pPr>
          <w:hyperlink w:anchor="__RefHeading___Toc24424_1389336206">
            <w:r>
              <w:rPr>
                <w:rStyle w:val="IndexLink"/>
              </w:rPr>
              <w:t>11. 3.2. Разработка</w:t>
              <w:tab/>
              <w:t>31</w:t>
            </w:r>
          </w:hyperlink>
        </w:p>
        <w:p>
          <w:pPr>
            <w:pStyle w:val="Contents2"/>
            <w:tabs>
              <w:tab w:val="clear" w:pos="468"/>
              <w:tab w:val="right" w:pos="9355" w:leader="dot"/>
            </w:tabs>
            <w:rPr/>
          </w:pPr>
          <w:hyperlink w:anchor="__RefHeading___Toc24426_1389336206">
            <w:r>
              <w:rPr>
                <w:rStyle w:val="IndexLink"/>
              </w:rPr>
              <w:t>12. 3.3. Тестирование</w:t>
              <w:tab/>
              <w:t>37</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41</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41</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43</w:t>
            </w:r>
          </w:hyperlink>
        </w:p>
        <w:p>
          <w:pPr>
            <w:pStyle w:val="Contents1"/>
            <w:tabs>
              <w:tab w:val="clear" w:pos="468"/>
              <w:tab w:val="right" w:pos="9355" w:leader="dot"/>
            </w:tabs>
            <w:rPr/>
          </w:pPr>
          <w:hyperlink w:anchor="__RefHeading___Toc24434_1389336206">
            <w:r>
              <w:rPr>
                <w:rStyle w:val="IndexLink"/>
              </w:rPr>
              <w:t>16. ЗАКЛЮЧЕНИЕ</w:t>
              <w:tab/>
              <w:t>46</w:t>
            </w:r>
          </w:hyperlink>
        </w:p>
        <w:p>
          <w:pPr>
            <w:pStyle w:val="Contents1"/>
            <w:tabs>
              <w:tab w:val="clear" w:pos="468"/>
              <w:tab w:val="right" w:pos="9355" w:leader="dot"/>
            </w:tabs>
            <w:rPr/>
          </w:pPr>
          <w:hyperlink w:anchor="__RefHeading___Toc24436_1389336206">
            <w:r>
              <w:rPr>
                <w:rStyle w:val="IndexLink"/>
              </w:rPr>
              <w:t>17. СПИСОК ИСПОЛЬЗОВАННОЙ ЛИТЕРАТУРЫ</w:t>
              <w:tab/>
              <w:t>49</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numPr>
          <w:ilvl w:val="0"/>
          <w:numId w:val="0"/>
        </w:numPr>
        <w:ind w:left="1429" w:right="0" w:hanging="0"/>
        <w:rPr/>
      </w:pPr>
      <w:bookmarkStart w:id="2" w:name="__RefHeading___Toc1143_773439566"/>
      <w:bookmarkEnd w:id="2"/>
      <w:r>
        <w:rPr/>
        <w:t>1. Анализ моделей и методов, применяемых при извлечении терминов из текстами</w:t>
      </w:r>
    </w:p>
    <w:p>
      <w:pPr>
        <w:pStyle w:val="Normal"/>
        <w:widowControl/>
        <w:overflowPunct w:val="tru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numPr>
          <w:ilvl w:val="0"/>
          <w:numId w:val="0"/>
        </w:numPr>
        <w:ind w:left="1429" w:right="0" w:hanging="0"/>
        <w:rPr/>
      </w:pPr>
      <w:r>
        <w:rPr/>
      </w:r>
    </w:p>
    <w:p>
      <w:pPr>
        <w:pStyle w:val="Heading2"/>
        <w:numPr>
          <w:ilvl w:val="0"/>
          <w:numId w:val="0"/>
        </w:numPr>
        <w:ind w:left="720" w:right="0" w:hanging="0"/>
        <w:rPr/>
      </w:pPr>
      <w:bookmarkStart w:id="3" w:name="__RefHeading___Toc1145_773439566"/>
      <w:bookmarkEnd w:id="3"/>
      <w:r>
        <w:rPr/>
        <w:t>1.1 Определение термина</w:t>
      </w:r>
    </w:p>
    <w:p>
      <w:pPr>
        <w:pStyle w:val="Normal"/>
        <w:widowControl/>
        <w:overflowPunct w:val="true"/>
        <w:bidi w:val="0"/>
        <w:spacing w:lineRule="auto" w:line="360" w:before="0" w:after="0"/>
        <w:ind w:left="0" w:right="0" w:firstLine="794"/>
        <w:jc w:val="both"/>
        <w:rPr/>
      </w:pPr>
      <w:r>
        <w:rPr/>
        <w:t>Исследования</w:t>
      </w:r>
      <w:r>
        <w:rPr/>
        <w:t>м</w:t>
      </w:r>
      <w:r>
        <w:rPr/>
        <w:t xml:space="preserve"> в области термино</w:t>
      </w:r>
      <w:r>
        <w:rPr/>
        <w:t>ведения</w:t>
      </w:r>
      <w:r>
        <w:rPr/>
        <w:t xml:space="preserve"> посвящен</w:t>
      </w:r>
      <w:r>
        <w:rPr/>
        <w:t>о большое количество</w:t>
      </w:r>
      <w:r>
        <w:rPr/>
        <w:t xml:space="preserve"> работ, </w:t>
      </w:r>
      <w:r>
        <w:rPr/>
        <w:t>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true"/>
        <w:bidi w:val="0"/>
        <w:spacing w:lineRule="auto" w:line="360" w:before="0" w:after="0"/>
        <w:ind w:left="0" w:right="0" w:firstLine="794"/>
        <w:jc w:val="both"/>
        <w:rPr/>
      </w:pPr>
      <w:r>
        <w:rPr/>
        <w:t xml:space="preserve">Несмотря на большое количество работ, посвященных исследованию понятия «термин», исследователями отмечается отсутствие единого, универсального </w:t>
      </w:r>
      <w:r>
        <w:rPr/>
        <w:t>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xml:space="preserve">]. </w:t>
      </w:r>
      <w:r>
        <w:rPr/>
        <w:t>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true"/>
        <w:bidi w:val="0"/>
        <w:spacing w:lineRule="auto" w:line="360" w:before="0" w:after="0"/>
        <w:ind w:left="0" w:right="0" w:firstLine="794"/>
        <w:jc w:val="both"/>
        <w:rPr/>
      </w:pPr>
      <w:r>
        <w:rPr/>
        <w:t>А. А. Реформатск</w:t>
      </w:r>
      <w:r>
        <w:rPr/>
        <w:t>ий дает следующее определение</w:t>
      </w:r>
      <w:r>
        <w:rPr/>
        <w:t>: «</w:t>
      </w:r>
      <w:r>
        <w:rPr/>
        <w:t>т</w:t>
      </w:r>
      <w:r>
        <w:rPr/>
        <w:t xml:space="preserve">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t>[</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tru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w:t>
      </w:r>
      <w:r>
        <w:rPr/>
        <w:t xml:space="preserve">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w:t>
      </w:r>
      <w:r>
        <w:rPr/>
        <w:t>ы</w:t>
      </w:r>
      <w:r>
        <w:rPr/>
        <w:t xml:space="preserve"> — </w:t>
      </w:r>
      <w:r>
        <w:rPr/>
        <w:t>это</w:t>
      </w:r>
      <w:r>
        <w:rPr/>
        <w:t xml:space="preserve"> особы</w:t>
      </w:r>
      <w:r>
        <w:rPr/>
        <w:t>е</w:t>
      </w:r>
      <w:r>
        <w:rPr/>
        <w:t xml:space="preserve"> слова и словосочетания, обладающи</w:t>
      </w:r>
      <w:r>
        <w:rPr/>
        <w:t>е</w:t>
      </w:r>
      <w:r>
        <w:rPr/>
        <w:t xml:space="preserve"> определенным набором критериев, </w:t>
      </w:r>
      <w:r>
        <w:rPr/>
        <w:t>к которым,</w:t>
      </w:r>
      <w:r>
        <w:rPr/>
        <w:t xml:space="preserve"> </w:t>
      </w:r>
      <w:r>
        <w:rPr/>
        <w:t>в частности, относят</w:t>
      </w:r>
      <w:r>
        <w:rPr/>
        <w:t xml:space="preserve"> моносемантичность, независимость от контекста </w:t>
      </w:r>
      <w:r>
        <w:rPr/>
        <w:t>и</w:t>
      </w:r>
      <w:r>
        <w:rPr/>
        <w:t xml:space="preserve"> нейтральность. </w:t>
      </w:r>
      <w:r>
        <w:rPr/>
        <w:t>Согласно</w:t>
      </w:r>
      <w:r>
        <w:rPr/>
        <w:t xml:space="preserve"> функциональной точк</w:t>
      </w:r>
      <w:r>
        <w:rPr/>
        <w:t>е</w:t>
      </w:r>
      <w:r>
        <w:rPr/>
        <w:t xml:space="preserve"> зрения «в роли термина может выступать любое слово», </w:t>
      </w:r>
      <w:r>
        <w:rPr/>
        <w:t>а также</w:t>
      </w:r>
      <w:r>
        <w:rPr/>
        <w:t xml:space="preserve">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xml:space="preserve">]. </w:t>
      </w:r>
      <w:r>
        <w:rPr/>
        <w:t>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w:t>
      </w:r>
      <w:r>
        <w:rPr/>
        <w:t xml:space="preserve">, «которые вызывают ряд трудностей при выделении терминологической лексики из словарного состава языка» </w:t>
      </w:r>
      <w:r>
        <w:rPr/>
        <w:t>[</w:t>
      </w:r>
      <w:r>
        <w:rPr/>
        <w:fldChar w:fldCharType="begin"/>
      </w:r>
      <w:r>
        <w:rPr/>
        <w:instrText> REF Ref_Reference13_number_only \h </w:instrText>
      </w:r>
      <w:r>
        <w:rPr/>
        <w:fldChar w:fldCharType="separate"/>
      </w:r>
      <w:r>
        <w:rPr/>
        <w:t>14</w:t>
      </w:r>
      <w:r>
        <w:rPr/>
        <w:fldChar w:fldCharType="end"/>
      </w:r>
      <w:r>
        <w:rPr/>
        <w:t>]</w:t>
      </w:r>
      <w:r>
        <w:rPr/>
        <w:t xml:space="preserve">. </w:t>
      </w:r>
      <w:r>
        <w:rPr/>
        <w:t>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tru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true"/>
        <w:bidi w:val="0"/>
        <w:spacing w:lineRule="auto" w:line="360" w:before="0" w:after="0"/>
        <w:ind w:left="0" w:right="0" w:firstLine="794"/>
        <w:jc w:val="both"/>
        <w:rPr/>
      </w:pPr>
      <w:r>
        <w:rPr/>
        <w:t>Так, например, по мнению О.</w:t>
      </w:r>
      <w:r>
        <w:rPr/>
        <w:t xml:space="preserve"> Вюстер</w:t>
      </w:r>
      <w:r>
        <w:rPr/>
        <w:t xml:space="preserve">а </w:t>
      </w:r>
      <w:r>
        <w:rPr/>
        <w:t xml:space="preserve">предметные области состоят из наборов понятий, или мыслительных конструкций, </w:t>
      </w:r>
      <w:r>
        <w:rPr/>
        <w:t>в то же время как</w:t>
      </w:r>
      <w:r>
        <w:rPr/>
        <w:t xml:space="preserve">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true"/>
        <w:bidi w:val="0"/>
        <w:spacing w:lineRule="auto" w:line="360" w:before="0" w:after="0"/>
        <w:ind w:left="0" w:right="0" w:firstLine="794"/>
        <w:jc w:val="both"/>
        <w:rPr/>
      </w:pPr>
      <w:r>
        <w:rPr>
          <w:rFonts w:ascii="Times New Roman" w:hAnsi="Times New Roman"/>
          <w:b w:val="false"/>
          <w:i w:val="false"/>
          <w:caps w:val="false"/>
          <w:smallCaps w:val="false"/>
          <w:color w:val="000000"/>
          <w:spacing w:val="0"/>
          <w:sz w:val="28"/>
        </w:rPr>
        <w:t xml:space="preserve">Международная Организация по Стандартизации, в </w:t>
      </w:r>
      <w:r>
        <w:rPr>
          <w:rFonts w:ascii="Times New Roman" w:hAnsi="Times New Roman"/>
          <w:b w:val="false"/>
          <w:i w:val="false"/>
          <w:caps w:val="false"/>
          <w:smallCaps w:val="false"/>
          <w:color w:val="000000"/>
          <w:spacing w:val="0"/>
          <w:sz w:val="28"/>
        </w:rPr>
        <w:t>2000</w:t>
      </w:r>
      <w:r>
        <w:rPr>
          <w:rFonts w:ascii="Times New Roman" w:hAnsi="Times New Roman"/>
          <w:b w:val="false"/>
          <w:i w:val="false"/>
          <w:caps w:val="false"/>
          <w:smallCaps w:val="false"/>
          <w:color w:val="000000"/>
          <w:spacing w:val="0"/>
          <w:sz w:val="28"/>
        </w:rPr>
        <w:t xml:space="preserve"> году опубликовала стандарт, </w:t>
      </w:r>
      <w:r>
        <w:rPr>
          <w:rFonts w:ascii="Times New Roman" w:hAnsi="Times New Roman"/>
          <w:b w:val="false"/>
          <w:i w:val="false"/>
          <w:caps w:val="false"/>
          <w:smallCaps w:val="false"/>
          <w:color w:val="000000"/>
          <w:spacing w:val="0"/>
          <w:sz w:val="28"/>
        </w:rPr>
        <w:t>описывающий понятия терминологии</w:t>
      </w:r>
      <w:r>
        <w:rPr>
          <w:rFonts w:ascii="Times New Roman" w:hAnsi="Times New Roman"/>
          <w:b w:val="false"/>
          <w:i w:val="false"/>
          <w:caps w:val="false"/>
          <w:smallCaps w:val="false"/>
          <w:color w:val="000000"/>
          <w:spacing w:val="0"/>
          <w:sz w:val="28"/>
        </w:rPr>
        <w:t xml:space="preserve"> – ISO 1087-1:2000 «Terminology work -- Vocabulary -- Part 1: Theory and application»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Ref_Reference20_number_only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20</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Данный документ</w:t>
      </w:r>
      <w:r>
        <w:rPr/>
        <w:t xml:space="preserve"> </w:t>
      </w:r>
      <w:r>
        <w:rPr/>
        <w:t>дает следующее значение</w:t>
      </w:r>
      <w:r>
        <w:rPr/>
        <w:t xml:space="preserve"> </w:t>
      </w:r>
      <w:r>
        <w:rPr/>
        <w:t>понятию «</w:t>
      </w:r>
      <w:r>
        <w:rPr/>
        <w:t xml:space="preserve">термин»: «term: verbal designation (3.4.1) of a general concept (3.2.3) in a specific subject field» (Перевод: </w:t>
      </w:r>
      <w:r>
        <w:rPr/>
        <w:t>т</w:t>
      </w:r>
      <w:r>
        <w:rPr/>
        <w:t xml:space="preserve">ермин — это </w:t>
      </w:r>
      <w:r>
        <w:rPr/>
        <w:t>словесное</w:t>
      </w:r>
      <w:r>
        <w:rPr/>
        <w:t xml:space="preserve"> обозначение определенного понятия в </w:t>
      </w:r>
      <w:r>
        <w:rPr/>
        <w:t>определенной предметной области</w:t>
      </w:r>
      <w:r>
        <w:rPr/>
        <w:t xml:space="preserve">). </w:t>
      </w:r>
      <w:r>
        <w:rPr/>
        <w:t>Понятие</w:t>
      </w:r>
      <w:r>
        <w:rPr/>
        <w:t xml:space="preserve"> «designation» (обозначение) </w:t>
      </w:r>
      <w:r>
        <w:rPr/>
        <w:t>в данном определении</w:t>
      </w:r>
      <w:r>
        <w:rPr/>
        <w:t xml:space="preserve"> обозначает «representation of a concept (3.2.1) by a sign which denotes it» (Перевод: представление понятия </w:t>
      </w:r>
      <w:r>
        <w:rPr/>
        <w:t>с помощью символьного обозначения</w:t>
      </w:r>
      <w:r>
        <w:rPr/>
        <w:t xml:space="preserve">). </w:t>
      </w:r>
      <w:r>
        <w:rPr/>
        <w:t>Понятие</w:t>
      </w:r>
      <w:r>
        <w:rPr/>
        <w:t xml:space="preserve"> «concept» (понятие) обозначает «unit of knowledge created by a unique combination of characteristics» (Перевод: единица </w:t>
      </w:r>
      <w:r>
        <w:rPr/>
        <w:t>знаний</w:t>
      </w:r>
      <w:r>
        <w:rPr/>
        <w:t xml:space="preserve">, образованная путем </w:t>
      </w:r>
      <w:r>
        <w:rPr/>
        <w:t>уникального объединения</w:t>
      </w:r>
      <w:r>
        <w:rPr/>
        <w:t xml:space="preserve"> </w:t>
      </w:r>
      <w:r>
        <w:rPr/>
        <w:t>характеристик). А понятие  «</w:t>
      </w:r>
      <w:r>
        <w:rPr/>
        <w:t xml:space="preserve">characteristic» </w:t>
      </w:r>
      <w:r>
        <w:rPr/>
        <w:t>(характеристика) - это «</w:t>
      </w:r>
      <w:r>
        <w:rPr/>
        <w:t xml:space="preserve">abstraction of a property of an object (3.1.1) or of a set of objects» </w:t>
      </w:r>
      <w:r>
        <w:rPr/>
        <w:t>(Перевод: абстракция свойств объекта или множества объектов).</w:t>
      </w:r>
    </w:p>
    <w:p>
      <w:pPr>
        <w:pStyle w:val="Normal"/>
        <w:widowControl/>
        <w:overflowPunct w:val="tru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
    </w:p>
    <w:p>
      <w:pPr>
        <w:pStyle w:val="TextBody"/>
        <w:widowControl/>
        <w:overflowPunct w:val="true"/>
        <w:bidi w:val="0"/>
        <w:spacing w:lineRule="auto" w:line="360" w:before="0" w:after="0"/>
        <w:ind w:left="0" w:right="0" w:hanging="0"/>
        <w:jc w:val="both"/>
        <w:rPr/>
      </w:pPr>
      <w:r>
        <w:rPr>
          <w:rFonts w:ascii="Times New Roman" w:hAnsi="Times New Roman"/>
          <w:b/>
          <w:bCs/>
          <w:i w:val="false"/>
          <w:caps w:val="false"/>
          <w:smallCaps w:val="false"/>
          <w:color w:val="000000"/>
          <w:spacing w:val="0"/>
          <w:sz w:val="28"/>
        </w:rPr>
        <w:t>Синтаксические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Номинативность.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качестве терминов обычно рассматриваются имена существительные или словосочетания , построенные на их основе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Ref_Reference22_number_only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22</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Нормативность. </w:t>
      </w:r>
      <w:r>
        <w:rPr>
          <w:rFonts w:ascii="Times New Roman" w:hAnsi="Times New Roman"/>
          <w:b w:val="false"/>
          <w:i w:val="false"/>
          <w:caps w:val="false"/>
          <w:smallCaps w:val="false"/>
          <w:color w:val="000000"/>
          <w:spacing w:val="0"/>
          <w:sz w:val="28"/>
        </w:rPr>
        <w:t>С</w:t>
      </w:r>
      <w:r>
        <w:rPr>
          <w:rFonts w:ascii="Times New Roman" w:hAnsi="Times New Roman"/>
          <w:b w:val="false"/>
          <w:i w:val="false"/>
          <w:caps w:val="false"/>
          <w:smallCaps w:val="false"/>
          <w:color w:val="000000"/>
          <w:spacing w:val="0"/>
          <w:sz w:val="28"/>
        </w:rPr>
        <w:t xml:space="preserve">оответствие </w:t>
      </w:r>
      <w:r>
        <w:rPr>
          <w:rFonts w:ascii="Times New Roman" w:hAnsi="Times New Roman"/>
          <w:b w:val="false"/>
          <w:i w:val="false"/>
          <w:caps w:val="false"/>
          <w:smallCaps w:val="false"/>
          <w:color w:val="000000"/>
          <w:spacing w:val="0"/>
          <w:sz w:val="28"/>
        </w:rPr>
        <w:t>термина</w:t>
      </w:r>
      <w:r>
        <w:rPr>
          <w:rFonts w:ascii="Times New Roman" w:hAnsi="Times New Roman"/>
          <w:b w:val="false"/>
          <w:i w:val="false"/>
          <w:caps w:val="false"/>
          <w:smallCaps w:val="false"/>
          <w:color w:val="000000"/>
          <w:spacing w:val="0"/>
          <w:sz w:val="28"/>
        </w:rPr>
        <w:t xml:space="preserve"> языковым нормам.</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Терминологическая инвариантность.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тсутствие разнообразия в написании и произношении термина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Ref_Reference21_number_only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21</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4. Мотивированность или самообъяснимость термина. «</w:t>
      </w:r>
      <w:r>
        <w:rPr>
          <w:rFonts w:ascii="Times New Roman" w:hAnsi="Times New Roman"/>
          <w:b w:val="false"/>
          <w:i w:val="false"/>
          <w:caps w:val="false"/>
          <w:smallCaps w:val="false"/>
          <w:color w:val="000000"/>
          <w:spacing w:val="0"/>
          <w:sz w:val="28"/>
        </w:rPr>
        <w:t>М</w:t>
      </w:r>
      <w:r>
        <w:rPr>
          <w:rFonts w:ascii="Times New Roman" w:hAnsi="Times New Roman"/>
          <w:b w:val="false"/>
          <w:i w:val="false"/>
          <w:caps w:val="false"/>
          <w:smallCaps w:val="false"/>
          <w:color w:val="000000"/>
          <w:spacing w:val="0"/>
          <w:sz w:val="28"/>
        </w:rPr>
        <w:t>аксимальное соответствие структуры термина содержательной структуре выражаемого им понятия»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r>
      <w:r>
        <w:br w:type="page"/>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Семантические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Системность.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ринадлежность термина к системе понятий определенной предметной области.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Соответствие обозначаемому понятию.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тсутствие противоречий между значением термина </w:t>
      </w:r>
      <w:r>
        <w:rPr>
          <w:rFonts w:ascii="Times New Roman" w:hAnsi="Times New Roman"/>
          <w:b w:val="false"/>
          <w:i w:val="false"/>
          <w:caps w:val="false"/>
          <w:smallCaps w:val="false"/>
          <w:color w:val="000000"/>
          <w:spacing w:val="0"/>
          <w:sz w:val="28"/>
        </w:rPr>
        <w:t>в определенной предметной области и</w:t>
      </w:r>
      <w:r>
        <w:rPr>
          <w:rFonts w:ascii="Times New Roman" w:hAnsi="Times New Roman"/>
          <w:b w:val="false"/>
          <w:i w:val="false"/>
          <w:caps w:val="false"/>
          <w:smallCaps w:val="false"/>
          <w:color w:val="000000"/>
          <w:spacing w:val="0"/>
          <w:sz w:val="28"/>
        </w:rPr>
        <w:t xml:space="preserve"> лексическим значением слов, из которых состоит термин.</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Однозначность или моносемантичность термина.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днозначность термина в </w:t>
      </w:r>
      <w:r>
        <w:rPr>
          <w:rFonts w:ascii="Times New Roman" w:hAnsi="Times New Roman"/>
          <w:b w:val="false"/>
          <w:i w:val="false"/>
          <w:caps w:val="false"/>
          <w:smallCaps w:val="false"/>
          <w:color w:val="000000"/>
          <w:spacing w:val="0"/>
          <w:sz w:val="28"/>
        </w:rPr>
        <w:t>рамках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определенной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разных сферах употребления термин может иметь разные значения.</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Содержательная точность. </w:t>
      </w:r>
      <w:r>
        <w:rPr>
          <w:rFonts w:ascii="Times New Roman" w:hAnsi="Times New Roman"/>
          <w:b w:val="false"/>
          <w:i w:val="false"/>
          <w:caps w:val="false"/>
          <w:smallCaps w:val="false"/>
          <w:color w:val="000000"/>
          <w:spacing w:val="0"/>
          <w:sz w:val="28"/>
        </w:rPr>
        <w:t>Т</w:t>
      </w:r>
      <w:r>
        <w:rPr>
          <w:rFonts w:ascii="Times New Roman" w:hAnsi="Times New Roman"/>
          <w:b w:val="false"/>
          <w:i w:val="false"/>
          <w:caps w:val="false"/>
          <w:smallCaps w:val="false"/>
          <w:color w:val="000000"/>
          <w:spacing w:val="0"/>
          <w:sz w:val="28"/>
        </w:rPr>
        <w:t>очность и ограниченность значения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Прагматические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1. Внедр</w:t>
      </w:r>
      <w:r>
        <w:rPr>
          <w:rFonts w:ascii="Times New Roman" w:hAnsi="Times New Roman"/>
          <w:b w:val="false"/>
          <w:i w:val="false"/>
          <w:caps w:val="false"/>
          <w:smallCaps w:val="false"/>
          <w:color w:val="000000"/>
          <w:spacing w:val="0"/>
          <w:sz w:val="28"/>
        </w:rPr>
        <w:t>ё</w:t>
      </w:r>
      <w:r>
        <w:rPr>
          <w:rFonts w:ascii="Times New Roman" w:hAnsi="Times New Roman"/>
          <w:b w:val="false"/>
          <w:i w:val="false"/>
          <w:caps w:val="false"/>
          <w:smallCaps w:val="false"/>
          <w:color w:val="000000"/>
          <w:spacing w:val="0"/>
          <w:sz w:val="28"/>
        </w:rPr>
        <w:t>нность или общепринятость.</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Дефиницированность. </w:t>
      </w:r>
      <w:r>
        <w:rPr>
          <w:rFonts w:ascii="Times New Roman" w:hAnsi="Times New Roman"/>
          <w:b w:val="false"/>
          <w:i w:val="false"/>
          <w:caps w:val="false"/>
          <w:smallCaps w:val="false"/>
          <w:color w:val="000000"/>
          <w:spacing w:val="0"/>
          <w:sz w:val="28"/>
        </w:rPr>
        <w:t>Наличие у термина дефиниции, понятия - о</w:t>
      </w:r>
      <w:r>
        <w:rPr>
          <w:rFonts w:ascii="Times New Roman" w:hAnsi="Times New Roman"/>
          <w:b w:val="false"/>
          <w:i w:val="false"/>
          <w:caps w:val="false"/>
          <w:smallCaps w:val="false"/>
          <w:color w:val="000000"/>
          <w:spacing w:val="0"/>
          <w:sz w:val="28"/>
        </w:rPr>
        <w:t>пределени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или толковани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слова; «установление смысла незнакомого понятия с помощью знакомых и уже осмысленных понятий, или путем включения в контекст знакомых слов»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Ref_Reference18_number_only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18</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Независимость от контекста.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 xml:space="preserve">ризнак, </w:t>
      </w:r>
      <w:r>
        <w:rPr>
          <w:rFonts w:ascii="Times New Roman" w:hAnsi="Times New Roman"/>
          <w:b w:val="false"/>
          <w:i w:val="false"/>
          <w:caps w:val="false"/>
          <w:smallCaps w:val="false"/>
          <w:color w:val="000000"/>
          <w:spacing w:val="0"/>
          <w:sz w:val="28"/>
        </w:rPr>
        <w:t>являющийся</w:t>
      </w:r>
      <w:r>
        <w:rPr>
          <w:rFonts w:ascii="Times New Roman" w:hAnsi="Times New Roman"/>
          <w:b w:val="false"/>
          <w:i w:val="false"/>
          <w:caps w:val="false"/>
          <w:smallCaps w:val="false"/>
          <w:color w:val="000000"/>
          <w:spacing w:val="0"/>
          <w:sz w:val="28"/>
        </w:rPr>
        <w:t xml:space="preserve"> следствием моносемантичности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Вариационная устойчивость.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оспроизводимость в текстах </w:t>
      </w:r>
      <w:r>
        <w:rPr>
          <w:rFonts w:ascii="Times New Roman" w:hAnsi="Times New Roman"/>
          <w:b w:val="false"/>
          <w:i w:val="false"/>
          <w:caps w:val="false"/>
          <w:smallCaps w:val="false"/>
          <w:color w:val="000000"/>
          <w:spacing w:val="0"/>
          <w:sz w:val="28"/>
        </w:rPr>
        <w:t xml:space="preserve">рассматриваемой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 xml:space="preserve">как </w:t>
      </w:r>
      <w:r>
        <w:rPr>
          <w:rFonts w:ascii="Times New Roman" w:hAnsi="Times New Roman"/>
          <w:b w:val="false"/>
          <w:i w:val="false"/>
          <w:caps w:val="false"/>
          <w:smallCaps w:val="false"/>
          <w:color w:val="000000"/>
          <w:spacing w:val="0"/>
          <w:sz w:val="28"/>
        </w:rPr>
        <w:t xml:space="preserve">слов, </w:t>
      </w:r>
      <w:r>
        <w:rPr>
          <w:rFonts w:ascii="Times New Roman" w:hAnsi="Times New Roman"/>
          <w:b w:val="false"/>
          <w:i w:val="false"/>
          <w:caps w:val="false"/>
          <w:smallCaps w:val="false"/>
          <w:color w:val="000000"/>
          <w:spacing w:val="0"/>
          <w:sz w:val="28"/>
        </w:rPr>
        <w:t>так</w:t>
      </w:r>
      <w:r>
        <w:rPr>
          <w:rFonts w:ascii="Times New Roman" w:hAnsi="Times New Roman"/>
          <w:b w:val="false"/>
          <w:i w:val="false"/>
          <w:caps w:val="false"/>
          <w:smallCaps w:val="false"/>
          <w:color w:val="000000"/>
          <w:spacing w:val="0"/>
          <w:sz w:val="28"/>
        </w:rPr>
        <w:t xml:space="preserve"> и словосочетаний, образующих термин </w:t>
      </w:r>
      <w:r>
        <w:rPr>
          <w:rFonts w:ascii="Times New Roman" w:hAnsi="Times New Roman"/>
          <w:b w:val="false"/>
          <w:i w:val="false"/>
          <w:caps w:val="false"/>
          <w:smallCaps w:val="false"/>
          <w:color w:val="000000"/>
          <w:spacing w:val="0"/>
          <w:sz w:val="28"/>
        </w:rPr>
        <w:t>данной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Другими словами этот признак обозначает</w:t>
      </w:r>
      <w:r>
        <w:rPr>
          <w:rFonts w:ascii="Times New Roman" w:hAnsi="Times New Roman"/>
          <w:b w:val="false"/>
          <w:i w:val="false"/>
          <w:caps w:val="false"/>
          <w:smallCaps w:val="false"/>
          <w:color w:val="000000"/>
          <w:spacing w:val="0"/>
          <w:sz w:val="28"/>
        </w:rPr>
        <w:t xml:space="preserve"> высок</w:t>
      </w:r>
      <w:r>
        <w:rPr>
          <w:rFonts w:ascii="Times New Roman" w:hAnsi="Times New Roman"/>
          <w:b w:val="false"/>
          <w:i w:val="false"/>
          <w:caps w:val="false"/>
          <w:smallCaps w:val="false"/>
          <w:color w:val="000000"/>
          <w:spacing w:val="0"/>
          <w:sz w:val="28"/>
        </w:rPr>
        <w:t>ую</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встречаемость </w:t>
      </w:r>
      <w:r>
        <w:rPr>
          <w:rFonts w:ascii="Times New Roman" w:hAnsi="Times New Roman"/>
          <w:b w:val="false"/>
          <w:i w:val="false"/>
          <w:caps w:val="false"/>
          <w:smallCaps w:val="false"/>
          <w:color w:val="000000"/>
          <w:spacing w:val="0"/>
          <w:sz w:val="28"/>
        </w:rPr>
        <w:t xml:space="preserve">термина в текстах </w:t>
      </w:r>
      <w:r>
        <w:rPr>
          <w:rFonts w:ascii="Times New Roman" w:hAnsi="Times New Roman"/>
          <w:b w:val="false"/>
          <w:i w:val="false"/>
          <w:caps w:val="false"/>
          <w:smallCaps w:val="false"/>
          <w:color w:val="000000"/>
          <w:spacing w:val="0"/>
          <w:sz w:val="28"/>
        </w:rPr>
        <w:t>рассматриваемой области</w:t>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 Благозвучность.</w:t>
      </w:r>
    </w:p>
    <w:p>
      <w:pPr>
        <w:pStyle w:val="Normal"/>
        <w:widowControl/>
        <w:overflowPunct w:val="true"/>
        <w:bidi w:val="0"/>
        <w:spacing w:lineRule="auto" w:line="360" w:before="0" w:after="0"/>
        <w:ind w:left="0" w:right="0" w:firstLine="794"/>
        <w:jc w:val="both"/>
        <w:rPr/>
      </w:pPr>
      <w:r>
        <w:rPr/>
      </w:r>
    </w:p>
    <w:p>
      <w:pPr>
        <w:pStyle w:val="Normal"/>
        <w:widowControl/>
        <w:overflowPunct w:val="true"/>
        <w:bidi w:val="0"/>
        <w:spacing w:lineRule="auto" w:line="360" w:before="0" w:after="0"/>
        <w:ind w:left="0" w:right="0" w:firstLine="794"/>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4" w:name="__RefHeading___Toc24384_1389336206"/>
      <w:bookmarkStart w:id="5" w:name="_Toc514507961"/>
      <w:bookmarkEnd w:id="4"/>
      <w:r>
        <w:rPr>
          <w:highlight w:val="yellow"/>
        </w:rPr>
        <w:t>1. Анализ моделей и методов, применяемых при оценке удобства использования программного обеспечения</w:t>
      </w:r>
      <w:bookmarkEnd w:id="5"/>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6" w:name="__RefHeading___Toc24398_1389336206"/>
      <w:bookmarkStart w:id="7" w:name="_Toc514507968"/>
      <w:bookmarkEnd w:id="6"/>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7"/>
    </w:p>
    <w:p>
      <w:pPr>
        <w:pStyle w:val="Normal"/>
        <w:rPr>
          <w:highlight w:val="yellow"/>
        </w:rPr>
      </w:pPr>
      <w:r>
        <w:rPr>
          <w:highlight w:val="yellow"/>
        </w:rPr>
      </w:r>
    </w:p>
    <w:p>
      <w:pPr>
        <w:pStyle w:val="Heading2"/>
        <w:numPr>
          <w:ilvl w:val="0"/>
          <w:numId w:val="7"/>
        </w:numPr>
        <w:ind w:left="709" w:right="0" w:hanging="0"/>
        <w:rPr>
          <w:highlight w:val="yellow"/>
        </w:rPr>
      </w:pPr>
      <w:bookmarkStart w:id="8" w:name="__RefHeading___Toc24400_1389336206"/>
      <w:bookmarkStart w:id="9" w:name="_Toc514507969"/>
      <w:bookmarkEnd w:id="8"/>
      <w:r>
        <w:rPr>
          <w:highlight w:val="yellow"/>
        </w:rPr>
        <w:t>2.1. Понятие и виды активности пользователей программной системы</w:t>
      </w:r>
      <w:bookmarkEnd w:id="9"/>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10" w:name="__RefHeading___Toc24402_1389336206"/>
      <w:bookmarkStart w:id="11" w:name="_Toc514507970"/>
      <w:bookmarkEnd w:id="10"/>
      <w:r>
        <w:rPr>
          <w:highlight w:val="yellow"/>
        </w:rPr>
        <w:t>2.2. Модель онтологии предметной области удобства использования</w:t>
      </w:r>
      <w:bookmarkEnd w:id="11"/>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highlight w:val="yellow"/>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t xml:space="preserve">, при этом  потомок </w:t>
      </w:r>
    </w:p>
    <w:p>
      <w:pPr>
        <w:pStyle w:val="Normal"/>
        <w:rPr>
          <w:highlight w:val="yellow"/>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highlight w:val="yellow"/>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1"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9225" descr="Рисунок Фрагмент иерархии элементов ГПИ"/>
                    <pic:cNvPicPr>
                      <a:picLocks noChangeAspect="1" noChangeArrowheads="1"/>
                    </pic:cNvPicPr>
                  </pic:nvPicPr>
                  <pic:blipFill>
                    <a:blip r:embed="rId3"/>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2"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224" descr="Рисунок 2"/>
                    <pic:cNvPicPr>
                      <a:picLocks noChangeAspect="1" noChangeArrowheads="1"/>
                    </pic:cNvPicPr>
                  </pic:nvPicPr>
                  <pic:blipFill>
                    <a:blip r:embed="rId4"/>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12" w:name="__RefHeading___Toc24404_1389336206"/>
      <w:bookmarkStart w:id="13" w:name="_Toc514507971"/>
      <w:bookmarkEnd w:id="12"/>
      <w:r>
        <w:rPr>
          <w:highlight w:val="yellow"/>
        </w:rPr>
        <w:t>2.2. Модель активности пользователей</w:t>
      </w:r>
      <w:bookmarkEnd w:id="13"/>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14" w:name="__RefHeading___Toc24408_1389336206"/>
      <w:bookmarkStart w:id="15" w:name="_Toc514507973"/>
      <w:bookmarkEnd w:id="14"/>
      <w:r>
        <w:rPr>
          <w:highlight w:val="yellow"/>
        </w:rPr>
        <w:t>2.2.*. Данные активности пользователей</w:t>
      </w:r>
      <w:bookmarkEnd w:id="15"/>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highlight w:val="yellow"/>
        </w:rPr>
      </w:pP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highlight w:val="yellow"/>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i/>
          <w:highlight w:val="yellow"/>
        </w:rPr>
        <w:t>,</w:t>
      </w:r>
      <w:r>
        <w:rPr>
          <w:highlight w:val="yellow"/>
        </w:rPr>
        <w:tab/>
        <w:tab/>
        <w:tab/>
        <w:tab/>
      </w:r>
    </w:p>
    <w:p>
      <w:pPr>
        <w:pStyle w:val="Normal"/>
        <w:ind w:left="0" w:right="0" w:hanging="0"/>
        <w:rPr>
          <w:highlight w:val="yellow"/>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16" w:name="__RefHeading___Toc24420_1389336206"/>
      <w:bookmarkStart w:id="17" w:name="_Toc514507979"/>
      <w:bookmarkEnd w:id="16"/>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17"/>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18" w:name="__RefHeading___Toc24422_1389336206"/>
      <w:bookmarkStart w:id="19" w:name="_Toc514507980"/>
      <w:bookmarkEnd w:id="18"/>
      <w:r>
        <w:rPr>
          <w:highlight w:val="yellow"/>
        </w:rPr>
        <w:t>3.1. Анализ требований и проектирование</w:t>
      </w:r>
      <w:bookmarkEnd w:id="19"/>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3"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Объект 4" descr=""/>
                    <pic:cNvPicPr>
                      <a:picLocks noChangeAspect="1" noChangeArrowheads="1"/>
                    </pic:cNvPicPr>
                  </pic:nvPicPr>
                  <pic:blipFill>
                    <a:blip r:embed="rId5"/>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20" w:name="__RefHeading___Toc24424_1389336206"/>
      <w:bookmarkStart w:id="21" w:name="_Toc514507981"/>
      <w:bookmarkEnd w:id="20"/>
      <w:r>
        <w:rPr>
          <w:highlight w:val="yellow"/>
        </w:rPr>
        <w:t>3.2. Разработка</w:t>
      </w:r>
      <w:bookmarkEnd w:id="2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5"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0" descr=""/>
                    <pic:cNvPicPr>
                      <a:picLocks noChangeAspect="1" noChangeArrowheads="1"/>
                    </pic:cNvPicPr>
                  </pic:nvPicPr>
                  <pic:blipFill>
                    <a:blip r:embed="rId7"/>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6"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1" descr=""/>
                    <pic:cNvPicPr>
                      <a:picLocks noChangeAspect="1" noChangeArrowheads="1"/>
                    </pic:cNvPicPr>
                  </pic:nvPicPr>
                  <pic:blipFill>
                    <a:blip r:embed="rId8"/>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descr=""/>
                    <pic:cNvPicPr>
                      <a:picLocks noChangeAspect="1" noChangeArrowheads="1"/>
                    </pic:cNvPicPr>
                  </pic:nvPicPr>
                  <pic:blipFill>
                    <a:blip r:embed="rId9"/>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
                    <pic:cNvPicPr>
                      <a:picLocks noChangeAspect="1" noChangeArrowheads="1"/>
                    </pic:cNvPicPr>
                  </pic:nvPicPr>
                  <pic:blipFill>
                    <a:blip r:embed="rId10"/>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9"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4" descr=""/>
                    <pic:cNvPicPr>
                      <a:picLocks noChangeAspect="1" noChangeArrowheads="1"/>
                    </pic:cNvPicPr>
                  </pic:nvPicPr>
                  <pic:blipFill>
                    <a:blip r:embed="rId11"/>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10"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5" descr=""/>
                    <pic:cNvPicPr>
                      <a:picLocks noChangeAspect="1" noChangeArrowheads="1"/>
                    </pic:cNvPicPr>
                  </pic:nvPicPr>
                  <pic:blipFill>
                    <a:blip r:embed="rId12"/>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22" w:name="__RefHeading___Toc24426_1389336206"/>
      <w:bookmarkStart w:id="23" w:name="_Toc514507982"/>
      <w:bookmarkEnd w:id="22"/>
      <w:r>
        <w:rPr>
          <w:highlight w:val="yellow"/>
        </w:rPr>
        <w:t>3.3. Тестирование</w:t>
      </w:r>
      <w:bookmarkEnd w:id="23"/>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11"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3" descr=""/>
                    <pic:cNvPicPr>
                      <a:picLocks noChangeAspect="1" noChangeArrowheads="1"/>
                    </pic:cNvPicPr>
                  </pic:nvPicPr>
                  <pic:blipFill>
                    <a:blip r:embed="rId13"/>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4" w:name="__RefHeading___Toc24428_1389336206"/>
      <w:bookmarkStart w:id="25" w:name="_Toc514507983"/>
      <w:bookmarkEnd w:id="24"/>
      <w:r>
        <w:rPr>
          <w:highlight w:val="yellow"/>
        </w:rPr>
        <w:t>4. Реализация, проверка и апробация разработанных математических моделей и методов</w:t>
      </w:r>
      <w:bookmarkEnd w:id="25"/>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26" w:name="__RefHeading___Toc24430_1389336206"/>
      <w:bookmarkStart w:id="27" w:name="_Toc514507984"/>
      <w:bookmarkEnd w:id="26"/>
      <w:r>
        <w:rPr>
          <w:highlight w:val="yellow"/>
        </w:rPr>
        <w:t>4.1. Наполнение онтологии экземплярами</w:t>
      </w:r>
      <w:bookmarkEnd w:id="27"/>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28" w:name="__RefHeading___Toc24432_1389336206"/>
      <w:bookmarkStart w:id="29" w:name="_Toc514507985"/>
      <w:bookmarkEnd w:id="28"/>
      <w:r>
        <w:rPr>
          <w:highlight w:val="yellow"/>
        </w:rPr>
        <w:t>4.2. Построение тепловой карты</w:t>
      </w:r>
      <w:bookmarkEnd w:id="29"/>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12"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9226" descr="Рисунок 4"/>
                    <pic:cNvPicPr>
                      <a:picLocks noChangeAspect="1" noChangeArrowheads="1"/>
                    </pic:cNvPicPr>
                  </pic:nvPicPr>
                  <pic:blipFill>
                    <a:blip r:embed="rId14"/>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30" w:name="_GoBack"/>
      <w:bookmarkStart w:id="31" w:name="_GoBack"/>
      <w:bookmarkEnd w:id="31"/>
    </w:p>
    <w:p>
      <w:pPr>
        <w:pStyle w:val="Normal"/>
        <w:ind w:left="0" w:right="0" w:hanging="0"/>
        <w:jc w:val="center"/>
        <w:rPr>
          <w:highlight w:val="yellow"/>
        </w:rPr>
      </w:pPr>
      <w:r>
        <w:rPr/>
        <w:drawing>
          <wp:inline distT="0" distB="0" distL="0" distR="0">
            <wp:extent cx="6047105" cy="254571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32" w:name="__RefHeading___Toc24434_1389336206"/>
      <w:bookmarkStart w:id="33" w:name="_Toc514507986"/>
      <w:bookmarkEnd w:id="32"/>
      <w:r>
        <w:rPr>
          <w:highlight w:val="yellow"/>
        </w:rPr>
        <w:t>ЗАКЛЮЧЕНИЕ</w:t>
      </w:r>
      <w:bookmarkEnd w:id="33"/>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7"/>
        </w:numPr>
        <w:ind w:left="709" w:right="0" w:hanging="0"/>
        <w:rPr/>
      </w:pPr>
      <w:bookmarkStart w:id="34" w:name="__RefHeading___Toc24436_1389336206"/>
      <w:bookmarkStart w:id="35" w:name="_Toc514507987"/>
      <w:bookmarkEnd w:id="34"/>
      <w:r>
        <w:rPr/>
        <w:t>СПИСОК</w:t>
      </w:r>
      <w:r>
        <w:rPr>
          <w:lang w:val="en-US"/>
        </w:rPr>
        <w:t xml:space="preserve"> </w:t>
      </w:r>
      <w:r>
        <w:rPr/>
        <w:t>ИСПОЛЬЗОВАННОЙ</w:t>
      </w:r>
      <w:r>
        <w:rPr>
          <w:lang w:val="en-US"/>
        </w:rPr>
        <w:t xml:space="preserve"> </w:t>
      </w:r>
      <w:r>
        <w:rPr/>
        <w:t>ЛИТЕРАТУРЫ</w:t>
      </w:r>
      <w:bookmarkEnd w:id="35"/>
    </w:p>
    <w:p>
      <w:pPr>
        <w:pStyle w:val="Normal"/>
        <w:rPr>
          <w:lang w:val="en-US"/>
        </w:rPr>
      </w:pPr>
      <w:bookmarkStart w:id="36" w:name="Ref_Reference0_number_only"/>
      <w:r>
        <w:rPr/>
        <w:fldChar w:fldCharType="begin"/>
      </w:r>
      <w:r>
        <w:rPr/>
        <w:instrText> SEQ Reference \* ARABIC </w:instrText>
      </w:r>
      <w:r>
        <w:rPr/>
        <w:fldChar w:fldCharType="separate"/>
      </w:r>
      <w:r>
        <w:rPr/>
        <w:t>1</w:t>
      </w:r>
      <w:r>
        <w:rPr/>
        <w:fldChar w:fldCharType="end"/>
      </w:r>
      <w:bookmarkEnd w:id="36"/>
      <w:r>
        <w:rPr>
          <w:lang w:val="en-US"/>
        </w:rPr>
        <w:t>. Navigli R., Velardi P. Semantic interpretation of terminological strings // Proc. 6th Int’l Conf. Terminology and Knowledge Eng. 2002. P. 95–100.</w:t>
      </w:r>
    </w:p>
    <w:p>
      <w:pPr>
        <w:pStyle w:val="Normal"/>
        <w:rPr>
          <w:lang w:val="en-US"/>
        </w:rPr>
      </w:pPr>
      <w:bookmarkStart w:id="37" w:name="Ref_Reference1_number_only"/>
      <w:r>
        <w:rPr/>
        <w:fldChar w:fldCharType="begin"/>
      </w:r>
      <w:r>
        <w:rPr/>
        <w:instrText> SEQ Reference \* ARABIC </w:instrText>
      </w:r>
      <w:r>
        <w:rPr/>
        <w:fldChar w:fldCharType="separate"/>
      </w:r>
      <w:r>
        <w:rPr/>
        <w:t>2</w:t>
      </w:r>
      <w:r>
        <w:rPr/>
        <w:fldChar w:fldCharType="end"/>
      </w:r>
      <w:bookmarkEnd w:id="37"/>
      <w:r>
        <w:rPr>
          <w:lang w:val="en-US"/>
        </w:rPr>
        <w:t>. Frantzi, K. Automatic recognition of multi-word terms: The C-value/NC-value method / K. Frantzi, S. Ananiadou, H. Mima // International Journal on Digital Libraries. — 2000. — Т. 3, No 2. — С. 115—130.</w:t>
      </w:r>
    </w:p>
    <w:p>
      <w:pPr>
        <w:pStyle w:val="Normal"/>
        <w:rPr>
          <w:lang w:val="en-US"/>
        </w:rPr>
      </w:pPr>
      <w:bookmarkStart w:id="38" w:name="Ref_Reference2_number_only"/>
      <w:r>
        <w:rPr/>
        <w:fldChar w:fldCharType="begin"/>
      </w:r>
      <w:r>
        <w:rPr/>
        <w:instrText> SEQ Reference \* ARABIC </w:instrText>
      </w:r>
      <w:r>
        <w:rPr/>
        <w:fldChar w:fldCharType="separate"/>
      </w:r>
      <w:r>
        <w:rPr/>
        <w:t>3</w:t>
      </w:r>
      <w:r>
        <w:rPr/>
        <w:fldChar w:fldCharType="end"/>
      </w:r>
      <w:bookmarkEnd w:id="38"/>
      <w:r>
        <w:rPr>
          <w:lang w:val="en-US"/>
        </w:rPr>
        <w:t>. Evans D. A., Lefferts R. G. CLARIT-TREC experiments // Information processing &amp; management. 1995. Vol. 31, no. 3. P. 385–395.</w:t>
      </w:r>
    </w:p>
    <w:p>
      <w:pPr>
        <w:pStyle w:val="Normal"/>
        <w:rPr>
          <w:lang w:val="en-US"/>
        </w:rPr>
      </w:pPr>
      <w:r>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39" w:name="Ref_Reference4_number_only"/>
      <w:r>
        <w:rPr/>
        <w:fldChar w:fldCharType="begin"/>
      </w:r>
      <w:r>
        <w:rPr/>
        <w:instrText> SEQ Reference \* ARABIC </w:instrText>
      </w:r>
      <w:r>
        <w:rPr/>
        <w:fldChar w:fldCharType="separate"/>
      </w:r>
      <w:r>
        <w:rPr/>
        <w:t>5</w:t>
      </w:r>
      <w:r>
        <w:rPr/>
        <w:fldChar w:fldCharType="end"/>
      </w:r>
      <w:bookmarkEnd w:id="39"/>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40" w:name="Ref_Reference6_number_only"/>
      <w:r>
        <w:rPr/>
        <w:fldChar w:fldCharType="begin"/>
      </w:r>
      <w:r>
        <w:rPr/>
        <w:instrText> SEQ Reference \* ARABIC </w:instrText>
      </w:r>
      <w:r>
        <w:rPr/>
        <w:fldChar w:fldCharType="separate"/>
      </w:r>
      <w:r>
        <w:rPr/>
        <w:t>7</w:t>
      </w:r>
      <w:r>
        <w:rPr/>
        <w:fldChar w:fldCharType="end"/>
      </w:r>
      <w:bookmarkEnd w:id="40"/>
      <w:r>
        <w:rPr>
          <w:lang w:val="en-US"/>
        </w:rPr>
        <w:t>. 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41" w:name="Ref_Reference7_number_only"/>
      <w:r>
        <w:rPr/>
        <w:fldChar w:fldCharType="begin"/>
      </w:r>
      <w:r>
        <w:rPr/>
        <w:instrText> SEQ Reference \* ARABIC </w:instrText>
      </w:r>
      <w:r>
        <w:rPr/>
        <w:fldChar w:fldCharType="separate"/>
      </w:r>
      <w:r>
        <w:rPr/>
        <w:t>8</w:t>
      </w:r>
      <w:r>
        <w:rPr/>
        <w:fldChar w:fldCharType="end"/>
      </w:r>
      <w:bookmarkEnd w:id="41"/>
      <w:r>
        <w:rPr>
          <w:lang w:val="en-US"/>
        </w:rPr>
        <w:t>. Meijer Kevin, Frasincar Flavius, Hogenboom Frederik. A semantic approach for extracting domain taxonomies from text // Decision Support Systems. 2014. Т. 62. С. 78–93.</w:t>
      </w:r>
    </w:p>
    <w:p>
      <w:pPr>
        <w:pStyle w:val="Normal"/>
        <w:rPr>
          <w:lang w:val="en-US"/>
        </w:rPr>
      </w:pPr>
      <w:bookmarkStart w:id="42" w:name="Ref_Reference8_number_only"/>
      <w:r>
        <w:rPr/>
        <w:fldChar w:fldCharType="begin"/>
      </w:r>
      <w:r>
        <w:rPr/>
        <w:instrText> SEQ Reference \* ARABIC </w:instrText>
      </w:r>
      <w:r>
        <w:rPr/>
        <w:fldChar w:fldCharType="separate"/>
      </w:r>
      <w:r>
        <w:rPr/>
        <w:t>9</w:t>
      </w:r>
      <w:r>
        <w:rPr/>
        <w:fldChar w:fldCharType="end"/>
      </w:r>
      <w:bookmarkEnd w:id="42"/>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43" w:name="Ref_Reference9_number_only"/>
      <w:r>
        <w:rPr/>
        <w:fldChar w:fldCharType="begin"/>
      </w:r>
      <w:r>
        <w:rPr/>
        <w:instrText> SEQ Reference \* ARABIC </w:instrText>
      </w:r>
      <w:r>
        <w:rPr/>
        <w:fldChar w:fldCharType="separate"/>
      </w:r>
      <w:r>
        <w:rPr/>
        <w:t>10</w:t>
      </w:r>
      <w:r>
        <w:rPr/>
        <w:fldChar w:fldCharType="end"/>
      </w:r>
      <w:bookmarkEnd w:id="43"/>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44" w:name="Ref_Reference10_number_only"/>
      <w:bookmarkStart w:id="45" w:name="Ref_Reference10_number_only"/>
      <w:r>
        <w:rPr/>
        <w:fldChar w:fldCharType="begin"/>
      </w:r>
      <w:r>
        <w:rPr/>
        <w:instrText> SEQ Reference \* ARABIC </w:instrText>
      </w:r>
      <w:r>
        <w:rPr/>
        <w:fldChar w:fldCharType="separate"/>
      </w:r>
      <w:r>
        <w:rPr/>
        <w:t>11</w:t>
      </w:r>
      <w:r>
        <w:rPr/>
        <w:fldChar w:fldCharType="end"/>
      </w:r>
      <w:bookmarkEnd w:id="45"/>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46" w:name="Ref_Reference11_number_only"/>
      <w:r>
        <w:rPr/>
        <w:fldChar w:fldCharType="begin"/>
      </w:r>
      <w:r>
        <w:rPr/>
        <w:instrText> SEQ Reference \* ARABIC </w:instrText>
      </w:r>
      <w:r>
        <w:rPr/>
        <w:fldChar w:fldCharType="separate"/>
      </w:r>
      <w:r>
        <w:rPr/>
        <w:t>12</w:t>
      </w:r>
      <w:r>
        <w:rPr/>
        <w:fldChar w:fldCharType="end"/>
      </w:r>
      <w:bookmarkEnd w:id="46"/>
      <w:r>
        <w:rPr>
          <w:lang w:val="en-US"/>
        </w:rPr>
        <w:t>.  Vivaldi J., Rodrı́guez H. Using Wikipedia for term extraction in the biomedical domain: first experiences // Procesamiento del Lenguaje Natural. 2010. Vol. 45. P. 251–254.</w:t>
      </w:r>
    </w:p>
    <w:p>
      <w:pPr>
        <w:pStyle w:val="Normal"/>
        <w:rPr/>
      </w:pPr>
      <w:bookmarkStart w:id="47" w:name="Ref_Reference16_number_only"/>
      <w:r>
        <w:rPr>
          <w:lang w:val="en-US"/>
        </w:rPr>
        <w:fldChar w:fldCharType="begin"/>
      </w:r>
      <w:r>
        <w:rPr/>
        <w:instrText> SEQ Reference \* ARABIC </w:instrText>
      </w:r>
      <w:r>
        <w:rPr/>
        <w:fldChar w:fldCharType="separate"/>
      </w:r>
      <w:r>
        <w:rPr/>
        <w:t>13</w:t>
      </w:r>
      <w:r>
        <w:rPr/>
        <w:fldChar w:fldCharType="end"/>
      </w:r>
      <w:bookmarkEnd w:id="47"/>
      <w:r>
        <w:rPr>
          <w:lang w:val="en-US"/>
        </w:rPr>
        <w:t xml:space="preserve">. </w:t>
      </w:r>
      <w:r>
        <w:rPr>
          <w:lang w:val="en-US"/>
        </w:rPr>
        <w:t>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lang w:val="en-US"/>
        </w:rPr>
      </w:pPr>
      <w:bookmarkStart w:id="48" w:name="Ref_Reference13_number_only"/>
      <w:r>
        <w:rPr>
          <w:lang w:val="en-US"/>
        </w:rPr>
        <w:fldChar w:fldCharType="begin"/>
      </w:r>
      <w:r>
        <w:rPr/>
        <w:instrText> SEQ Reference \* ARABIC </w:instrText>
      </w:r>
      <w:r>
        <w:rPr/>
        <w:fldChar w:fldCharType="separate"/>
      </w:r>
      <w:r>
        <w:rPr/>
        <w:t>14</w:t>
      </w:r>
      <w:r>
        <w:rPr/>
        <w:fldChar w:fldCharType="end"/>
      </w:r>
      <w:bookmarkEnd w:id="48"/>
      <w:r>
        <w:rPr>
          <w:lang w:val="en-US"/>
        </w:rPr>
        <w:t xml:space="preserve">. </w:t>
      </w:r>
      <w:r>
        <w:rPr>
          <w:lang w:val="en-US"/>
        </w:rPr>
        <w:t>Гринев-Гриневич, С. В. Терминоведение // М.: Академия. 2008. Т. 304.</w:t>
      </w:r>
    </w:p>
    <w:p>
      <w:pPr>
        <w:pStyle w:val="Normal"/>
        <w:rPr>
          <w:lang w:val="en-US"/>
        </w:rPr>
      </w:pPr>
      <w:bookmarkStart w:id="49" w:name="Ref_Reference14_number_only"/>
      <w:r>
        <w:rPr>
          <w:lang w:val="en-US"/>
        </w:rPr>
        <w:fldChar w:fldCharType="begin"/>
      </w:r>
      <w:r>
        <w:rPr/>
        <w:instrText> SEQ Reference \* ARABIC </w:instrText>
      </w:r>
      <w:r>
        <w:rPr/>
        <w:fldChar w:fldCharType="separate"/>
      </w:r>
      <w:r>
        <w:rPr/>
        <w:t>15</w:t>
      </w:r>
      <w:r>
        <w:rPr/>
        <w:fldChar w:fldCharType="end"/>
      </w:r>
      <w:bookmarkEnd w:id="49"/>
      <w:r>
        <w:rPr>
          <w:lang w:val="en-US"/>
        </w:rPr>
        <w:t xml:space="preserve">. </w:t>
      </w:r>
      <w:r>
        <w:rPr>
          <w:lang w:val="en-US"/>
        </w:rPr>
        <w:t xml:space="preserve">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w:t>
      </w:r>
      <w:r>
        <w:rPr>
          <w:lang w:val="en-US"/>
        </w:rPr>
        <w:t>№</w:t>
      </w:r>
      <w:r>
        <w:rPr>
          <w:lang w:val="en-US"/>
        </w:rPr>
        <w:t xml:space="preserve"> 3. С. 175–178.</w:t>
      </w:r>
    </w:p>
    <w:p>
      <w:pPr>
        <w:pStyle w:val="Normal"/>
        <w:rPr/>
      </w:pPr>
      <w:bookmarkStart w:id="50" w:name="Ref_Reference15_number_only"/>
      <w:r>
        <w:rPr>
          <w:lang w:val="en-US"/>
        </w:rPr>
        <w:fldChar w:fldCharType="begin"/>
      </w:r>
      <w:r>
        <w:rPr/>
        <w:instrText> SEQ Reference \* ARABIC </w:instrText>
      </w:r>
      <w:r>
        <w:rPr/>
        <w:fldChar w:fldCharType="separate"/>
      </w:r>
      <w:r>
        <w:rPr/>
        <w:t>16</w:t>
      </w:r>
      <w:r>
        <w:rPr/>
        <w:fldChar w:fldCharType="end"/>
      </w:r>
      <w:bookmarkEnd w:id="50"/>
      <w:r>
        <w:rPr>
          <w:lang w:val="en-US"/>
        </w:rPr>
        <w:t xml:space="preserve">. </w:t>
      </w:r>
      <w:r>
        <w:rPr>
          <w:lang w:val="en-US"/>
        </w:rPr>
        <w:t xml:space="preserve">Реформатский, А. А. Что такое термин и терминология [Текст] / </w:t>
      </w:r>
      <w:r>
        <w:rPr>
          <w:lang w:val="en-US"/>
        </w:rPr>
        <w:t xml:space="preserve">М.: </w:t>
      </w:r>
      <w:r>
        <w:rPr>
          <w:lang w:val="en-US"/>
        </w:rPr>
        <w:t>Акад</w:t>
      </w:r>
      <w:r>
        <w:rPr>
          <w:lang w:val="en-US"/>
        </w:rPr>
        <w:t>емия</w:t>
      </w:r>
      <w:r>
        <w:rPr>
          <w:lang w:val="en-US"/>
        </w:rPr>
        <w:t xml:space="preserve"> наук СССР. Ин</w:t>
      </w:r>
      <w:r>
        <w:rPr>
          <w:lang w:val="en-US"/>
        </w:rPr>
        <w:t>ститу</w:t>
      </w:r>
      <w:r>
        <w:rPr>
          <w:lang w:val="en-US"/>
        </w:rPr>
        <w:t>т языкознания, 1959. 1</w:t>
      </w:r>
      <w:r>
        <w:rPr>
          <w:lang w:val="en-US"/>
        </w:rPr>
        <w:t xml:space="preserve">6 </w:t>
      </w:r>
      <w:r>
        <w:rPr>
          <w:lang w:val="en-US"/>
        </w:rPr>
        <w:t>с.</w:t>
      </w:r>
    </w:p>
    <w:p>
      <w:pPr>
        <w:pStyle w:val="Normal"/>
        <w:rPr/>
      </w:pPr>
      <w:bookmarkStart w:id="51" w:name="Ref_Reference17_number_only"/>
      <w:r>
        <w:rPr>
          <w:lang w:val="en-US"/>
        </w:rPr>
        <w:fldChar w:fldCharType="begin"/>
      </w:r>
      <w:r>
        <w:rPr/>
        <w:instrText> SEQ Reference \* ARABIC </w:instrText>
      </w:r>
      <w:r>
        <w:rPr/>
        <w:fldChar w:fldCharType="separate"/>
      </w:r>
      <w:r>
        <w:rPr/>
        <w:t>17</w:t>
      </w:r>
      <w:r>
        <w:rPr/>
        <w:fldChar w:fldCharType="end"/>
      </w:r>
      <w:bookmarkEnd w:id="51"/>
      <w:r>
        <w:rPr>
          <w:lang w:val="en-US"/>
        </w:rPr>
        <w:t xml:space="preserve">. </w:t>
      </w:r>
      <w:r>
        <w:rPr>
          <w:lang w:val="en-US"/>
        </w:rPr>
        <w:t>Винокур Г.О. Грамматические наблюдения в области технической терминологии // Труды МИИФЛИ. 1939. Т. 5.</w:t>
      </w:r>
    </w:p>
    <w:p>
      <w:pPr>
        <w:pStyle w:val="Normal"/>
        <w:rPr/>
      </w:pPr>
      <w:bookmarkStart w:id="52" w:name="Ref_Reference18_number_only"/>
      <w:r>
        <w:rPr>
          <w:lang w:val="en-US"/>
        </w:rPr>
        <w:fldChar w:fldCharType="begin"/>
      </w:r>
      <w:r>
        <w:rPr/>
        <w:instrText> SEQ Reference \* ARABIC </w:instrText>
      </w:r>
      <w:r>
        <w:rPr/>
        <w:fldChar w:fldCharType="separate"/>
      </w:r>
      <w:r>
        <w:rPr/>
        <w:t>18</w:t>
      </w:r>
      <w:r>
        <w:rPr/>
        <w:fldChar w:fldCharType="end"/>
      </w:r>
      <w:bookmarkEnd w:id="52"/>
      <w:r>
        <w:rPr>
          <w:lang w:val="en-US"/>
        </w:rPr>
        <w:t xml:space="preserve">. </w:t>
      </w:r>
      <w:r>
        <w:rPr/>
        <w:t>Жеребило Т.В. Словарь лингвистических терминов. // Назрань: Пилигрим, 2010.</w:t>
      </w:r>
    </w:p>
    <w:p>
      <w:pPr>
        <w:pStyle w:val="Normal"/>
        <w:rPr/>
      </w:pPr>
      <w:bookmarkStart w:id="53" w:name="Ref_Reference19_number_only"/>
      <w:r>
        <w:rPr>
          <w:lang w:val="en-US"/>
        </w:rPr>
        <w:fldChar w:fldCharType="begin"/>
      </w:r>
      <w:r>
        <w:rPr/>
        <w:instrText> SEQ Reference \* ARABIC </w:instrText>
      </w:r>
      <w:r>
        <w:rPr/>
        <w:fldChar w:fldCharType="separate"/>
      </w:r>
      <w:r>
        <w:rPr/>
        <w:t>19</w:t>
      </w:r>
      <w:r>
        <w:rPr/>
        <w:fldChar w:fldCharType="end"/>
      </w:r>
      <w:bookmarkEnd w:id="53"/>
      <w:r>
        <w:rPr>
          <w:lang w:val="en-US"/>
        </w:rPr>
        <w:t xml:space="preserve">. </w:t>
      </w:r>
      <w:r>
        <w:rPr/>
        <w:t>Wüster E. Einführung in die allgemeine Terminologielehre und terminologische Lexikographie (1979) // København: Handelshøjskolen. 1985.</w:t>
      </w:r>
    </w:p>
    <w:p>
      <w:pPr>
        <w:pStyle w:val="Normal"/>
        <w:rPr/>
      </w:pPr>
      <w:bookmarkStart w:id="54" w:name="Ref_Reference20_number_only"/>
      <w:r>
        <w:rPr>
          <w:lang w:val="en-US"/>
        </w:rPr>
        <w:fldChar w:fldCharType="begin"/>
      </w:r>
      <w:r>
        <w:rPr/>
        <w:instrText> SEQ Reference \* ARABIC </w:instrText>
      </w:r>
      <w:r>
        <w:rPr/>
        <w:fldChar w:fldCharType="separate"/>
      </w:r>
      <w:r>
        <w:rPr/>
        <w:t>20</w:t>
      </w:r>
      <w:r>
        <w:rPr/>
        <w:fldChar w:fldCharType="end"/>
      </w:r>
      <w:bookmarkEnd w:id="54"/>
      <w:r>
        <w:rPr>
          <w:lang w:val="en-US"/>
        </w:rPr>
        <w:t xml:space="preserve">. </w:t>
      </w:r>
      <w:r>
        <w:rPr/>
        <w:t xml:space="preserve">ISO 1087-1:2000. Terminology work — Vocabulary — Part 1: Theory and application, URL: https://www.iso.org/obp/ui/#iso:std:iso:1087:-1:ed-1:v1:en (дата обращения </w:t>
      </w:r>
      <w:r>
        <w:rPr/>
        <w:t>20</w:t>
      </w:r>
      <w:r>
        <w:rPr/>
        <w:t>.0</w:t>
      </w:r>
      <w:r>
        <w:rPr/>
        <w:t>5</w:t>
      </w:r>
      <w:r>
        <w:rPr/>
        <w:t>.201</w:t>
      </w:r>
      <w:r>
        <w:rPr/>
        <w:t>9</w:t>
      </w:r>
      <w:r>
        <w:rPr/>
        <w:t>).</w:t>
      </w:r>
    </w:p>
    <w:p>
      <w:pPr>
        <w:pStyle w:val="Normal"/>
        <w:rPr/>
      </w:pPr>
      <w:bookmarkStart w:id="55" w:name="Ref_Reference21_number_only"/>
      <w:r>
        <w:rPr>
          <w:lang w:val="en-US"/>
        </w:rPr>
        <w:fldChar w:fldCharType="begin"/>
      </w:r>
      <w:r>
        <w:rPr/>
        <w:instrText> SEQ Reference \* ARABIC </w:instrText>
      </w:r>
      <w:r>
        <w:rPr/>
        <w:fldChar w:fldCharType="separate"/>
      </w:r>
      <w:r>
        <w:rPr/>
        <w:t>21</w:t>
      </w:r>
      <w:r>
        <w:rPr/>
        <w:fldChar w:fldCharType="end"/>
      </w:r>
      <w:bookmarkEnd w:id="55"/>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56" w:name="Ref_Reference22_number_only"/>
      <w:r>
        <w:rPr>
          <w:lang w:val="en-US"/>
        </w:rPr>
        <w:fldChar w:fldCharType="begin"/>
      </w:r>
      <w:r>
        <w:rPr/>
        <w:instrText> SEQ Reference \* ARABIC </w:instrText>
      </w:r>
      <w:r>
        <w:rPr/>
        <w:fldChar w:fldCharType="separate"/>
      </w:r>
      <w:r>
        <w:rPr/>
        <w:t>22</w:t>
      </w:r>
      <w:r>
        <w:rPr/>
        <w:fldChar w:fldCharType="end"/>
      </w:r>
      <w:bookmarkEnd w:id="56"/>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57" w:name="Ref_Reference23_number_only"/>
      <w:r>
        <w:rPr>
          <w:lang w:val="en-US"/>
        </w:rPr>
        <w:fldChar w:fldCharType="begin"/>
      </w:r>
      <w:r>
        <w:rPr/>
        <w:instrText> SEQ Reference \* ARABIC </w:instrText>
      </w:r>
      <w:r>
        <w:rPr/>
        <w:fldChar w:fldCharType="separate"/>
      </w:r>
      <w:r>
        <w:rPr/>
        <w:t>23</w:t>
      </w:r>
      <w:r>
        <w:rPr/>
        <w:fldChar w:fldCharType="end"/>
      </w:r>
      <w:bookmarkEnd w:id="57"/>
      <w:r>
        <w:rPr>
          <w:lang w:val="en-US"/>
        </w:rPr>
        <w:t xml:space="preserve">. </w:t>
      </w:r>
      <w:r>
        <w:rPr/>
        <w:t xml:space="preserve">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w:t>
      </w:r>
      <w:r>
        <w:rPr/>
        <w:t>№</w:t>
      </w:r>
      <w:r>
        <w:rPr/>
        <w:t xml:space="preserve"> 21. С. 17–22.</w:t>
      </w:r>
    </w:p>
    <w:p>
      <w:pPr>
        <w:pStyle w:val="Normal"/>
        <w:rPr/>
      </w:pPr>
      <w:r>
        <w:rPr>
          <w:lang w:val="en-US"/>
        </w:rPr>
        <w:fldChar w:fldCharType="begin"/>
      </w:r>
      <w:r>
        <w:rPr/>
        <w:instrText> SEQ Reference \* ARABIC </w:instrText>
      </w:r>
      <w:r>
        <w:rPr/>
        <w:fldChar w:fldCharType="separate"/>
      </w:r>
      <w:r>
        <w:rPr/>
        <w:t>24</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Times New Roma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55</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6320</TotalTime>
  <Application>LibreOffice/6.2.4.2.0$Linux_X86_64 LibreOffice_project/20$Build-2</Application>
  <Pages>55</Pages>
  <Words>8171</Words>
  <Characters>60077</Characters>
  <CharactersWithSpaces>68354</CharactersWithSpaces>
  <Paragraphs>396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2019-06-23T00:46:41Z</dcterms:modified>
  <cp:revision>1731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