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clear" w:pos="468"/>
              <w:tab w:val="right" w:pos="9355" w:leader="dot"/>
            </w:tabs>
            <w:rPr/>
          </w:pPr>
          <w:r>
            <w:fldChar w:fldCharType="begin"/>
          </w:r>
          <w:r>
            <w:rPr>
              <w:rStyle w:val="IndexLink"/>
            </w:rPr>
            <w:instrText> TOC \o "1-3" \h</w:instrText>
          </w:r>
          <w:r>
            <w:rPr>
              <w:rStyle w:val="IndexLink"/>
            </w:rPr>
            <w:fldChar w:fldCharType="separate"/>
          </w:r>
          <w:hyperlink w:anchor="__RefHeading___Toc24382_1389336206">
            <w:r>
              <w:rPr>
                <w:rStyle w:val="IndexLink"/>
              </w:rPr>
              <w:t>ВВЕДЕНИЕ</w:t>
              <w:tab/>
              <w:t>3</w:t>
            </w:r>
          </w:hyperlink>
        </w:p>
        <w:p>
          <w:pPr>
            <w:pStyle w:val="Contents1"/>
            <w:tabs>
              <w:tab w:val="clear" w:pos="468"/>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10</w:t>
            </w:r>
          </w:hyperlink>
        </w:p>
        <w:p>
          <w:pPr>
            <w:pStyle w:val="Contents2"/>
            <w:tabs>
              <w:tab w:val="clear" w:pos="468"/>
              <w:tab w:val="right" w:pos="9355" w:leader="dot"/>
            </w:tabs>
            <w:rPr/>
          </w:pPr>
          <w:hyperlink w:anchor="__RefHeading___Toc1145_773439566">
            <w:r>
              <w:rPr>
                <w:rStyle w:val="IndexLink"/>
              </w:rPr>
              <w:t>1.1. Определение термина</w:t>
              <w:tab/>
              <w:t>10</w:t>
            </w:r>
          </w:hyperlink>
        </w:p>
        <w:p>
          <w:pPr>
            <w:pStyle w:val="Contents2"/>
            <w:tabs>
              <w:tab w:val="clear" w:pos="468"/>
              <w:tab w:val="right" w:pos="9355" w:leader="dot"/>
            </w:tabs>
            <w:rPr/>
          </w:pPr>
          <w:hyperlink w:anchor="__RefHeading___Toc1145_7734395661">
            <w:r>
              <w:rPr>
                <w:rStyle w:val="IndexLink"/>
              </w:rPr>
              <w:t>1.2. Существующие обзоры методов извлечения терминов из текста</w:t>
              <w:tab/>
              <w:t>14</w:t>
            </w:r>
          </w:hyperlink>
        </w:p>
        <w:p>
          <w:pPr>
            <w:pStyle w:val="Contents2"/>
            <w:tabs>
              <w:tab w:val="clear" w:pos="468"/>
              <w:tab w:val="right" w:pos="9355" w:leader="dot"/>
            </w:tabs>
            <w:rPr/>
          </w:pPr>
          <w:hyperlink w:anchor="__RefHeading___Toc4813_773439566">
            <w:r>
              <w:rPr>
                <w:rStyle w:val="IndexLink"/>
              </w:rPr>
              <w:t>1.3 Алгоритм работы методов извлечения терминов из текста</w:t>
              <w:tab/>
              <w:t>16</w:t>
            </w:r>
          </w:hyperlink>
        </w:p>
        <w:p>
          <w:pPr>
            <w:pStyle w:val="Contents2"/>
            <w:tabs>
              <w:tab w:val="clear" w:pos="468"/>
              <w:tab w:val="right" w:pos="9355" w:leader="dot"/>
            </w:tabs>
            <w:rPr/>
          </w:pPr>
          <w:hyperlink w:anchor="__RefHeading___Toc4815_773439566">
            <w:r>
              <w:rPr>
                <w:rStyle w:val="IndexLink"/>
              </w:rPr>
              <w:t>1.4. Методы на основе статистического параметра частоты вхождений</w:t>
              <w:tab/>
              <w:t>20</w:t>
            </w:r>
          </w:hyperlink>
        </w:p>
        <w:p>
          <w:pPr>
            <w:pStyle w:val="Contents2"/>
            <w:tabs>
              <w:tab w:val="clear" w:pos="468"/>
              <w:tab w:val="right" w:pos="9355" w:leader="dot"/>
            </w:tabs>
            <w:rPr/>
          </w:pPr>
          <w:hyperlink w:anchor="__RefHeading___Toc4809_773439566">
            <w:r>
              <w:rPr>
                <w:rStyle w:val="IndexLink"/>
              </w:rPr>
              <w:t>1.5. Методы на основе контекстов вхождений</w:t>
              <w:tab/>
              <w:t>25</w:t>
            </w:r>
          </w:hyperlink>
        </w:p>
        <w:p>
          <w:pPr>
            <w:pStyle w:val="Contents2"/>
            <w:tabs>
              <w:tab w:val="clear" w:pos="468"/>
              <w:tab w:val="right" w:pos="9355" w:leader="dot"/>
            </w:tabs>
            <w:rPr/>
          </w:pPr>
          <w:hyperlink w:anchor="__RefHeading___Toc4817_773439566">
            <w:r>
              <w:rPr>
                <w:rStyle w:val="IndexLink"/>
              </w:rPr>
              <w:t>1.6. Методы оценки эффективности</w:t>
              <w:tab/>
              <w:t>27</w:t>
            </w:r>
          </w:hyperlink>
        </w:p>
        <w:p>
          <w:pPr>
            <w:pStyle w:val="Contents2"/>
            <w:tabs>
              <w:tab w:val="clear" w:pos="468"/>
              <w:tab w:val="right" w:pos="9355" w:leader="dot"/>
            </w:tabs>
            <w:rPr/>
          </w:pPr>
          <w:hyperlink w:anchor="__RefHeading___Toc4811_773439566">
            <w:r>
              <w:rPr>
                <w:rStyle w:val="IndexLink"/>
              </w:rPr>
              <w:t>1.7. Выводы</w:t>
              <w:tab/>
              <w:t>30</w:t>
            </w:r>
          </w:hyperlink>
        </w:p>
        <w:p>
          <w:pPr>
            <w:pStyle w:val="Contents1"/>
            <w:tabs>
              <w:tab w:val="clear" w:pos="468"/>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32</w:t>
            </w:r>
          </w:hyperlink>
        </w:p>
        <w:p>
          <w:pPr>
            <w:pStyle w:val="Contents2"/>
            <w:tabs>
              <w:tab w:val="clear" w:pos="468"/>
              <w:tab w:val="right" w:pos="9355" w:leader="dot"/>
            </w:tabs>
            <w:rPr/>
          </w:pPr>
          <w:hyperlink w:anchor="__RefHeading___Toc21931_3435704646">
            <w:r>
              <w:rPr>
                <w:rStyle w:val="IndexLink"/>
              </w:rPr>
              <w:t>2.1. Математическая модель русскоязычного текстового документа</w:t>
              <w:tab/>
              <w:t>32</w:t>
            </w:r>
          </w:hyperlink>
        </w:p>
        <w:p>
          <w:pPr>
            <w:pStyle w:val="Contents1"/>
            <w:tabs>
              <w:tab w:val="clear" w:pos="468"/>
              <w:tab w:val="right" w:pos="9355" w:leader="dot"/>
            </w:tabs>
            <w:rPr/>
          </w:pPr>
          <w:hyperlink w:anchor="__RefHeading___Toc24434_1389336206">
            <w:r>
              <w:rPr>
                <w:rStyle w:val="IndexLink"/>
              </w:rPr>
              <w:t>ЗАКЛЮЧЕНИЕ</w:t>
              <w:tab/>
              <w:t>37</w:t>
            </w:r>
          </w:hyperlink>
        </w:p>
        <w:p>
          <w:pPr>
            <w:pStyle w:val="Contents1"/>
            <w:tabs>
              <w:tab w:val="clear" w:pos="468"/>
              <w:tab w:val="right" w:pos="9355" w:leader="dot"/>
            </w:tabs>
            <w:rPr/>
          </w:pPr>
          <w:hyperlink w:anchor="__RefHeading___Toc24436_1389336206">
            <w:r>
              <w:rPr>
                <w:rStyle w:val="IndexLink"/>
              </w:rPr>
              <w:t>СПИСОК ИСПОЛЬЗОВАННОЙ ЛИТЕРАТУРЫ</w:t>
              <w:tab/>
              <w:t>38</w:t>
            </w:r>
          </w:hyperlink>
          <w:r>
            <w:rPr>
              <w:rStyle w:val="IndexLink"/>
            </w:rPr>
            <w:fldChar w:fldCharType="end"/>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2" w:name="__RefHeading___Toc1143_773439566"/>
          <w:bookmarkEnd w:id="2"/>
          <w:r>
            <w:rPr/>
            <w:t>1. Анализ моделей и методов, применяемых при извлечении терминов из текста</w:t>
          </w:r>
        </w:p>
        <w:p>
          <w:pPr>
            <w:pStyle w:val="Normal"/>
            <w:widowControl/>
            <w:overflowPunct w:val="fals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3" w:name="__RefHeading___Toc1145_773439566"/>
          <w:bookmarkEnd w:id="3"/>
          <w:r>
            <w:rPr/>
            <w:t>1.1. Определение термина</w:t>
          </w:r>
        </w:p>
        <w:p>
          <w:pPr>
            <w:pStyle w:val="Normal"/>
            <w:widowControl/>
            <w:overflowPunct w:val="fals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fals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fals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fals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fals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fals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fals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fals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fals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false"/>
            <w:bidi w:val="0"/>
            <w:spacing w:lineRule="auto" w:line="360" w:before="0" w:after="0"/>
            <w:ind w:left="0" w:right="0" w:firstLine="794"/>
            <w:jc w:val="both"/>
            <w:rPr/>
          </w:pPr>
          <w:r>
            <w:rPr/>
          </w:r>
        </w:p>
        <w:p>
          <w:pPr>
            <w:pStyle w:val="Normal"/>
            <w:widowControl/>
            <w:overflowPunct w:val="fals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false"/>
            <w:bidi w:val="0"/>
            <w:spacing w:lineRule="auto" w:line="360" w:before="0" w:after="0"/>
            <w:ind w:left="0" w:right="0" w:firstLine="794"/>
            <w:jc w:val="both"/>
            <w:rPr/>
          </w:pPr>
          <w:r>
            <w:rPr/>
          </w:r>
        </w:p>
        <w:p>
          <w:pPr>
            <w:pStyle w:val="Heading2"/>
            <w:ind w:left="709" w:right="0" w:hanging="0"/>
            <w:rPr/>
          </w:pPr>
          <w:bookmarkStart w:id="4" w:name="__RefHeading___Toc1145_7734395661"/>
          <w:bookmarkEnd w:id="4"/>
          <w:r>
            <w:rPr/>
            <w:t>1.2. Существующие обзоры методов извлечения терминов из текста</w:t>
          </w:r>
        </w:p>
        <w:p>
          <w:pPr>
            <w:pStyle w:val="Normal"/>
            <w:widowControl/>
            <w:overflowPunct w:val="fals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fals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fals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fals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fals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false"/>
            <w:bidi w:val="0"/>
            <w:spacing w:lineRule="auto" w:line="360" w:before="0" w:after="0"/>
            <w:ind w:left="0" w:right="0" w:firstLine="850"/>
            <w:jc w:val="both"/>
            <w:rPr/>
          </w:pPr>
          <w:r>
            <w:rPr/>
          </w:r>
        </w:p>
        <w:p>
          <w:pPr>
            <w:pStyle w:val="Heading2"/>
            <w:ind w:left="709" w:right="0" w:hanging="0"/>
            <w:rPr/>
          </w:pPr>
          <w:bookmarkStart w:id="5" w:name="__RefHeading___Toc4813_773439566"/>
          <w:bookmarkEnd w:id="5"/>
          <w:r>
            <w:rPr/>
            <w:t>1.3 Алгоритм работы методов извлечения терминов из текста</w:t>
          </w:r>
        </w:p>
        <w:p>
          <w:pPr>
            <w:pStyle w:val="Normal"/>
            <w:widowControl/>
            <w:overflowPunct w:val="fals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false"/>
            <w:bidi w:val="0"/>
            <w:spacing w:lineRule="auto" w:line="360" w:before="0" w:after="0"/>
            <w:ind w:left="0" w:right="0" w:firstLine="907"/>
            <w:jc w:val="both"/>
            <w:rPr/>
          </w:pPr>
          <w:r>
            <w:rPr/>
          </w:r>
        </w:p>
        <w:p>
          <w:pPr>
            <w:pStyle w:val="Normal"/>
            <w:widowControl/>
            <w:numPr>
              <w:ilvl w:val="0"/>
              <w:numId w:val="4"/>
            </w:numPr>
            <w:overflowPunct w:val="fals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fals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fals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6" w:name="__DdeLink__3995_17823524981"/>
          <w:bookmarkStart w:id="7" w:name="__DdeLink__4045_17823524981"/>
          <w:r>
            <w:rPr/>
            <w:t>Лингвистический фильтр</w:t>
          </w:r>
          <w:bookmarkEnd w:id="6"/>
          <w:bookmarkEnd w:id="7"/>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fals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fals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fals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fals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fals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8" w:name="__DdeLink__3114_1324460211"/>
          <w:r>
            <w:rPr/>
            <w:t>стоп-слов</w:t>
          </w:r>
          <w:bookmarkEnd w:id="8"/>
          <w:r>
            <w:rPr/>
            <w:t xml:space="preserve"> или стоп-список (англ. stop list) — это перечень, содержащий </w:t>
          </w:r>
          <w:bookmarkStart w:id="9" w:name="__DdeLink__3116_1324460211"/>
          <w:r>
            <w:rPr/>
            <w:t>слова, появление которых не является ожидаемым в списке терминов указанной предметной области</w:t>
          </w:r>
          <w:bookmarkEnd w:id="9"/>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fals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false"/>
            <w:bidi w:val="0"/>
            <w:spacing w:lineRule="auto" w:line="360" w:before="0" w:after="0"/>
            <w:ind w:left="0" w:right="0" w:firstLine="907"/>
            <w:jc w:val="both"/>
            <w:rPr/>
          </w:pPr>
          <w:r>
            <w:rPr/>
          </w:r>
        </w:p>
        <w:p>
          <w:pPr>
            <w:pStyle w:val="Normal"/>
            <w:widowControl/>
            <w:overflowPunct w:val="fals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fals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false"/>
            <w:bidi w:val="0"/>
            <w:spacing w:lineRule="auto" w:line="360" w:before="0" w:after="0"/>
            <w:ind w:left="0" w:right="0" w:firstLine="907"/>
            <w:jc w:val="both"/>
            <w:rPr/>
          </w:pPr>
          <w:r>
            <w:rPr/>
            <w:t xml:space="preserve">Перейдем к рассмотрению </w:t>
          </w:r>
          <w:bookmarkStart w:id="10" w:name="__DdeLink__7675_773439566"/>
          <w:r>
            <w:rPr/>
            <w:t>методов решения задачи подсчета признаков терминологических кандидатов</w:t>
          </w:r>
          <w:bookmarkEnd w:id="10"/>
          <w:r>
            <w:rPr/>
            <w:t>.</w:t>
          </w:r>
        </w:p>
        <w:p>
          <w:pPr>
            <w:pStyle w:val="Normal"/>
            <w:widowControl/>
            <w:overflowPunct w:val="false"/>
            <w:bidi w:val="0"/>
            <w:spacing w:lineRule="auto" w:line="360" w:before="0" w:after="0"/>
            <w:ind w:left="0" w:right="0" w:firstLine="907"/>
            <w:jc w:val="both"/>
            <w:rPr/>
          </w:pPr>
          <w:r>
            <w:rPr/>
          </w:r>
        </w:p>
        <w:p>
          <w:pPr>
            <w:pStyle w:val="Heading2"/>
            <w:ind w:left="709" w:right="0" w:hanging="0"/>
            <w:rPr/>
          </w:pPr>
          <w:bookmarkStart w:id="11" w:name="__RefHeading___Toc4815_773439566"/>
          <w:bookmarkEnd w:id="11"/>
          <w:r>
            <w:rPr/>
            <w:t xml:space="preserve">1.4. Методы на основе статистического параметра частоты вхождений </w:t>
          </w:r>
        </w:p>
        <w:p>
          <w:pPr>
            <w:pStyle w:val="Normal"/>
            <w:widowControl/>
            <w:overflowPunct w:val="fals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fals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fals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468"/>
              <w:tab w:val="left" w:pos="2840" w:leader="none"/>
              <w:tab w:val="left" w:pos="300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fals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fals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468"/>
              <w:tab w:val="left" w:pos="148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fals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fals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fals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fals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fals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fals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2" w:name="Ref_Formula3_number_only"/>
          <w:r>
            <w:rPr/>
            <w:fldChar w:fldCharType="begin"/>
          </w:r>
          <w:r>
            <w:rPr/>
            <w:instrText> SEQ Formula \* ARABIC </w:instrText>
          </w:r>
          <w:r>
            <w:rPr/>
            <w:fldChar w:fldCharType="separate"/>
          </w:r>
          <w:r>
            <w:rPr/>
            <w:t>4</w:t>
          </w:r>
          <w:r>
            <w:rPr/>
            <w:fldChar w:fldCharType="end"/>
          </w:r>
          <w:bookmarkEnd w:id="12"/>
          <w:r>
            <w:rPr/>
            <w:t>)</w:t>
          </w:r>
        </w:p>
        <w:p>
          <w:pPr>
            <w:pStyle w:val="Normal"/>
            <w:widowControl/>
            <w:overflowPunct w:val="fals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468"/>
              <w:tab w:val="left" w:pos="3240" w:leader="none"/>
              <w:tab w:val="left" w:pos="8560" w:leader="none"/>
              <w:tab w:val="left" w:pos="858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fals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fals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468"/>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3" w:name="Ref_Formula6_number_only"/>
          <w:r>
            <w:rPr/>
            <w:fldChar w:fldCharType="begin"/>
          </w:r>
          <w:r>
            <w:rPr/>
            <w:instrText> SEQ Formula \* ARABIC </w:instrText>
          </w:r>
          <w:r>
            <w:rPr/>
            <w:fldChar w:fldCharType="separate"/>
          </w:r>
          <w:r>
            <w:rPr/>
            <w:t>7</w:t>
          </w:r>
          <w:r>
            <w:rPr/>
            <w:fldChar w:fldCharType="end"/>
          </w:r>
          <w:bookmarkEnd w:id="13"/>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468"/>
              <w:tab w:val="left" w:pos="3060" w:leader="none"/>
              <w:tab w:val="left" w:pos="8440" w:leader="none"/>
            </w:tabs>
            <w:overflowPunct w:val="fals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4" w:name="__DdeLink__4289_1782352498"/>
          <w:r>
            <w:rPr/>
            <w:t>ерминологичность</w:t>
          </w:r>
          <w:bookmarkEnd w:id="14"/>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468"/>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5" w:name="Ref_Formula8_number_only"/>
          <w:r>
            <w:rPr/>
            <w:fldChar w:fldCharType="begin"/>
          </w:r>
          <w:r>
            <w:rPr/>
            <w:instrText> SEQ Formula \* ARABIC </w:instrText>
          </w:r>
          <w:r>
            <w:rPr/>
            <w:fldChar w:fldCharType="separate"/>
          </w:r>
          <w:r>
            <w:rPr/>
            <w:t>9</w:t>
          </w:r>
          <w:r>
            <w:rPr/>
            <w:fldChar w:fldCharType="end"/>
          </w:r>
          <w:bookmarkEnd w:id="15"/>
          <w:r>
            <w:rPr/>
            <w:t>)</w:t>
          </w:r>
        </w:p>
        <w:p>
          <w:pPr>
            <w:pStyle w:val="Normal"/>
            <w:tabs>
              <w:tab w:val="clear" w:pos="468"/>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6" w:name="Ref_Formula9_number_only"/>
          <w:r>
            <w:rPr/>
            <w:fldChar w:fldCharType="begin"/>
          </w:r>
          <w:r>
            <w:rPr/>
            <w:instrText> SEQ Formula \* ARABIC </w:instrText>
          </w:r>
          <w:r>
            <w:rPr/>
            <w:fldChar w:fldCharType="separate"/>
          </w:r>
          <w:r>
            <w:rPr/>
            <w:t>10</w:t>
          </w:r>
          <w:r>
            <w:rPr/>
            <w:fldChar w:fldCharType="end"/>
          </w:r>
          <w:bookmarkEnd w:id="16"/>
          <w:r>
            <w:rPr/>
            <w:t>)</w:t>
          </w:r>
        </w:p>
        <w:p>
          <w:pPr>
            <w:pStyle w:val="Normal"/>
            <w:tabs>
              <w:tab w:val="clear" w:pos="468"/>
              <w:tab w:val="left" w:pos="9072" w:leader="none"/>
            </w:tabs>
            <w:ind w:left="0" w:right="0" w:hanging="0"/>
            <w:jc w:val="center"/>
            <w:rPr/>
          </w:pPr>
          <w:r>
            <w:rPr/>
          </w:r>
        </w:p>
        <w:p>
          <w:pPr>
            <w:pStyle w:val="Normal"/>
            <w:widowControl/>
            <w:overflowPunct w:val="fals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fals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fals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fals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fals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17" w:name="__RefHeading___Toc4809_773439566"/>
          <w:bookmarkEnd w:id="17"/>
          <w:r>
            <w:rPr/>
            <w:t>1.5. Методы на основе контекстов вхождений</w:t>
          </w:r>
        </w:p>
        <w:p>
          <w:pPr>
            <w:pStyle w:val="Normal"/>
            <w:widowControl/>
            <w:overflowPunct w:val="fals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fals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fals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468"/>
              <w:tab w:val="left" w:pos="386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fals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fals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468"/>
              <w:tab w:val="left" w:pos="188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18" w:name="__DdeLink__7309_100265058"/>
          <w:r>
            <w:rPr/>
            <w:tab/>
            <w:t>(1.</w:t>
          </w:r>
          <w:r>
            <w:rPr/>
            <w:fldChar w:fldCharType="begin"/>
          </w:r>
          <w:r>
            <w:rPr/>
            <w:instrText> SEQ Formula \* ARABIC </w:instrText>
          </w:r>
          <w:r>
            <w:rPr/>
            <w:fldChar w:fldCharType="separate"/>
          </w:r>
          <w:r>
            <w:rPr/>
            <w:t>12</w:t>
          </w:r>
          <w:r>
            <w:rPr/>
            <w:fldChar w:fldCharType="end"/>
          </w:r>
          <w:r>
            <w:rPr/>
            <w:t>)</w:t>
          </w:r>
          <w:bookmarkEnd w:id="18"/>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fals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fals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fals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fals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468"/>
              <w:tab w:val="left" w:pos="2733" w:leader="none"/>
              <w:tab w:val="left" w:pos="8333" w:leader="none"/>
            </w:tabs>
            <w:overflowPunct w:val="fals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19" w:name="Ref_Formula12_number_only"/>
          <w:r>
            <w:rPr/>
            <w:fldChar w:fldCharType="begin"/>
          </w:r>
          <w:r>
            <w:rPr/>
            <w:instrText> SEQ Formula \* ARABIC </w:instrText>
          </w:r>
          <w:r>
            <w:rPr/>
            <w:fldChar w:fldCharType="separate"/>
          </w:r>
          <w:r>
            <w:rPr/>
            <w:t>13</w:t>
          </w:r>
          <w:r>
            <w:rPr/>
            <w:fldChar w:fldCharType="end"/>
          </w:r>
          <w:bookmarkEnd w:id="19"/>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fals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fals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fals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fals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fals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0" w:name="__RefHeading___Toc4817_773439566"/>
          <w:bookmarkEnd w:id="20"/>
          <w:r>
            <w:rPr/>
            <w:t>1.6. Методы оценки эффективности</w:t>
          </w:r>
        </w:p>
        <w:p>
          <w:pPr>
            <w:pStyle w:val="Normal"/>
            <w:widowControl/>
            <w:overflowPunct w:val="fals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fals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fals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fals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fals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fals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fals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fals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fals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fals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fals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fals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fals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1" w:name="__DdeLink__3562_17823524981"/>
          <w:r>
            <w:rPr/>
            <w:t>относящихся к заданной предметной области</w:t>
          </w:r>
          <w:bookmarkEnd w:id="21"/>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260" w:leader="none"/>
              <w:tab w:val="left" w:pos="8320" w:leader="none"/>
            </w:tabs>
            <w:overflowPunct w:val="fals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2" w:name="Ref_Formula12_number_only1"/>
          <w:r>
            <w:rPr/>
            <w:fldChar w:fldCharType="begin"/>
          </w:r>
          <w:r>
            <w:rPr/>
            <w:instrText> SEQ Formula \* ARABIC </w:instrText>
          </w:r>
          <w:r>
            <w:rPr/>
            <w:fldChar w:fldCharType="separate"/>
          </w:r>
          <w:r>
            <w:rPr/>
            <w:t>14</w:t>
          </w:r>
          <w:r>
            <w:rPr/>
            <w:fldChar w:fldCharType="end"/>
          </w:r>
          <w:bookmarkEnd w:id="22"/>
          <w:r>
            <w:rPr/>
            <w:t>)</w:t>
          </w:r>
        </w:p>
        <w:p>
          <w:pPr>
            <w:pStyle w:val="Normal"/>
            <w:widowControl/>
            <w:overflowPunct w:val="fals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fals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fals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false"/>
            <w:bidi w:val="0"/>
            <w:spacing w:lineRule="auto" w:line="360" w:before="0" w:after="0"/>
            <w:ind w:left="0" w:right="0" w:firstLine="964"/>
            <w:jc w:val="both"/>
            <w:rPr/>
          </w:pPr>
          <w:r>
            <w:rPr/>
          </w:r>
        </w:p>
        <w:p>
          <w:pPr>
            <w:pStyle w:val="Normal"/>
            <w:widowControl/>
            <w:numPr>
              <w:ilvl w:val="0"/>
              <w:numId w:val="11"/>
            </w:numPr>
            <w:overflowPunct w:val="fals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300" w:leader="none"/>
              <w:tab w:val="left" w:pos="8440" w:leader="none"/>
            </w:tabs>
            <w:overflowPunct w:val="fals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3" w:name="Ref_Formula12_number_only2"/>
          <w:r>
            <w:rPr/>
            <w:fldChar w:fldCharType="begin"/>
          </w:r>
          <w:r>
            <w:rPr/>
            <w:instrText> SEQ Formula \* ARABIC </w:instrText>
          </w:r>
          <w:r>
            <w:rPr/>
            <w:fldChar w:fldCharType="separate"/>
          </w:r>
          <w:r>
            <w:rPr/>
            <w:t>15</w:t>
          </w:r>
          <w:r>
            <w:rPr/>
            <w:fldChar w:fldCharType="end"/>
          </w:r>
          <w:bookmarkEnd w:id="23"/>
          <w:r>
            <w:rPr/>
            <w:t>)</w:t>
          </w:r>
        </w:p>
        <w:p>
          <w:pPr>
            <w:pStyle w:val="Normal"/>
            <w:widowControl/>
            <w:numPr>
              <w:ilvl w:val="0"/>
              <w:numId w:val="11"/>
            </w:numPr>
            <w:overflowPunct w:val="false"/>
            <w:bidi w:val="0"/>
            <w:spacing w:lineRule="auto" w:line="360" w:before="0" w:after="0"/>
            <w:jc w:val="both"/>
            <w:rPr/>
          </w:pPr>
          <w:r>
            <w:rPr/>
            <w:t>Средняя точность (англ. average precision):</w:t>
          </w:r>
        </w:p>
        <w:p>
          <w:pPr>
            <w:pStyle w:val="Normal"/>
            <w:widowControl/>
            <w:tabs>
              <w:tab w:val="clear" w:pos="468"/>
              <w:tab w:val="left" w:pos="3400" w:leader="none"/>
            </w:tabs>
            <w:overflowPunct w:val="fals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4" w:name="Ref_Formula12_number_only3"/>
          <w:r>
            <w:rPr/>
            <w:fldChar w:fldCharType="begin"/>
          </w:r>
          <w:r>
            <w:rPr/>
            <w:instrText> SEQ Formula \* ARABIC </w:instrText>
          </w:r>
          <w:r>
            <w:rPr/>
            <w:fldChar w:fldCharType="separate"/>
          </w:r>
          <w:r>
            <w:rPr/>
            <w:t>16</w:t>
          </w:r>
          <w:r>
            <w:rPr/>
            <w:fldChar w:fldCharType="end"/>
          </w:r>
          <w:bookmarkEnd w:id="24"/>
          <w:r>
            <w:rPr/>
            <w:t>)</w:t>
          </w:r>
        </w:p>
        <w:p>
          <w:pPr>
            <w:pStyle w:val="Normal"/>
            <w:widowControl/>
            <w:overflowPunct w:val="false"/>
            <w:bidi w:val="0"/>
            <w:spacing w:lineRule="auto" w:line="360" w:before="0" w:after="0"/>
            <w:ind w:left="0" w:right="0" w:firstLine="964"/>
            <w:jc w:val="both"/>
            <w:rPr/>
          </w:pPr>
          <w:r>
            <w:rPr/>
          </w:r>
        </w:p>
        <w:p>
          <w:pPr>
            <w:pStyle w:val="Style24"/>
            <w:widowControl/>
            <w:overflowPunct w:val="fals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5" w:name="__RefHeading___Toc4811_773439566"/>
          <w:bookmarkEnd w:id="25"/>
          <w:r>
            <w:rPr/>
            <w:t>1.7. Выводы</w:t>
          </w:r>
        </w:p>
        <w:p>
          <w:pPr>
            <w:pStyle w:val="Normal"/>
            <w:widowControl/>
            <w:overflowPunct w:val="false"/>
            <w:bidi w:val="0"/>
            <w:spacing w:lineRule="auto" w:line="360" w:before="0" w:after="0"/>
            <w:ind w:left="0" w:right="0" w:firstLine="964"/>
            <w:jc w:val="both"/>
            <w:rPr/>
          </w:pPr>
          <w:r>
            <w:rPr/>
            <w:t>В данной главе был проведен 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p>
        <w:p>
          <w:pPr>
            <w:pStyle w:val="Normal"/>
            <w:widowControl/>
            <w:overflowPunct w:val="false"/>
            <w:bidi w:val="0"/>
            <w:spacing w:lineRule="auto" w:line="360" w:before="0" w:after="0"/>
            <w:ind w:left="0" w:right="0" w:firstLine="964"/>
            <w:jc w:val="both"/>
            <w:rPr/>
          </w:pPr>
          <w:r>
            <w:rPr/>
            <w:t>Необходимо выделить несколько основных проблем, связанных с рассматриваемой задачей:</w:t>
          </w:r>
        </w:p>
        <w:p>
          <w:pPr>
            <w:pStyle w:val="Normal"/>
            <w:widowControl/>
            <w:numPr>
              <w:ilvl w:val="0"/>
              <w:numId w:val="12"/>
            </w:numPr>
            <w:overflowPunct w:val="fals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fals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fals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2"/>
            </w:numPr>
            <w:overflowPunct w:val="fals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false"/>
            <w:bidi w:val="0"/>
            <w:spacing w:lineRule="auto" w:line="360" w:before="0" w:after="0"/>
            <w:ind w:left="0" w:right="0" w:hanging="0"/>
            <w:jc w:val="both"/>
            <w:rPr/>
          </w:pPr>
          <w:r>
            <w:rPr/>
          </w:r>
          <w:r>
            <w:br w:type="page"/>
          </w:r>
        </w:p>
        <w:p>
          <w:pPr>
            <w:pStyle w:val="Heading1"/>
            <w:ind w:left="709" w:right="0" w:hanging="0"/>
            <w:rPr/>
          </w:pPr>
          <w:bookmarkStart w:id="26" w:name="__RefHeading___Toc12842_3435704646"/>
          <w:bookmarkEnd w:id="26"/>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true"/>
            <w:bidi w:val="0"/>
            <w:spacing w:lineRule="auto" w:line="360" w:before="0" w:after="0"/>
            <w:ind w:left="0" w:right="0" w:firstLine="964"/>
            <w:jc w:val="both"/>
            <w:rPr/>
          </w:pPr>
          <w:r>
            <w:rPr/>
            <w:t>Во второй главе приведено описание математической модели русскоязычного текстового документа, учитывающую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Style23"/>
            <w:widowControl/>
            <w:overflowPunct w:val="true"/>
            <w:bidi w:val="0"/>
            <w:spacing w:lineRule="auto" w:line="360" w:before="0" w:after="0"/>
            <w:ind w:left="0" w:right="0" w:firstLine="964"/>
            <w:jc w:val="both"/>
            <w:rPr/>
          </w:pPr>
          <w:r>
            <w:rPr/>
          </w:r>
        </w:p>
        <w:p>
          <w:pPr>
            <w:pStyle w:val="Heading2"/>
            <w:rPr/>
          </w:pPr>
          <w:bookmarkStart w:id="27" w:name="__RefHeading___Toc21931_3435704646"/>
          <w:bookmarkEnd w:id="27"/>
          <w:r>
            <w:rPr/>
            <w:t xml:space="preserve">2.1. </w:t>
          </w:r>
          <w:r>
            <w:rPr/>
            <w:t>Математическая модель русскоязычного текстового документа</w:t>
          </w:r>
        </w:p>
        <w:p>
          <w:pPr>
            <w:pStyle w:val="BodyPaperText"/>
            <w:rPr/>
          </w:pPr>
          <w:r>
            <w:rPr/>
            <w:t xml:space="preserve">Рассмотрим математическую модель русскоязычного текстового документа. </w:t>
          </w:r>
          <w:r>
            <w:rPr>
              <w:szCs w:val="28"/>
            </w:rPr>
            <w:t xml:space="preserve">Пусть дан текстовый документ определенной предметной области </w:t>
          </w:r>
          <w:r>
            <w:rPr>
              <w:i/>
              <w:szCs w:val="28"/>
            </w:rPr>
            <w:t xml:space="preserve">D, </w:t>
          </w:r>
          <w:r>
            <w:rPr>
              <w:szCs w:val="20"/>
            </w:rPr>
            <w:t xml:space="preserve">состоящий из множества предложений </w:t>
          </w:r>
          <w:r>
            <w:rPr>
              <w:i/>
              <w:szCs w:val="20"/>
              <w:lang w:val="en-US"/>
            </w:rPr>
            <w:t>s</w:t>
          </w:r>
          <w:r>
            <w:rPr>
              <w:i/>
              <w:szCs w:val="20"/>
              <w:vertAlign w:val="subscript"/>
              <w:lang w:val="en-US"/>
            </w:rPr>
            <w:t>i</w:t>
          </w:r>
          <w:r>
            <w:rPr>
              <w:szCs w:val="20"/>
            </w:rPr>
            <w:t xml:space="preserve"> (см. ф. 1).</w:t>
          </w:r>
        </w:p>
        <w:p>
          <w:pPr>
            <w:pStyle w:val="BodyPaperText"/>
            <w:tabs>
              <w:tab w:val="clear" w:pos="468"/>
              <w:tab w:val="left" w:pos="2268" w:leader="none"/>
              <w:tab w:val="left" w:pos="5954" w:leader="none"/>
            </w:tabs>
            <w:spacing w:before="120" w:after="120"/>
            <w:ind w:hanging="0"/>
            <w:rPr/>
          </w:pPr>
          <w:r>
            <w:rPr>
              <w:szCs w:val="20"/>
            </w:rPr>
            <w:tab/>
          </w:r>
          <w:r>
            <w:rPr>
              <w:i/>
              <w:iCs/>
              <w:szCs w:val="20"/>
              <w:lang w:val="en-US"/>
            </w:rPr>
            <w:t>D</w:t>
          </w:r>
          <w:r>
            <w:rPr>
              <w:szCs w:val="20"/>
            </w:rPr>
            <w:t xml:space="preserve"> = {</w:t>
          </w:r>
          <w:r>
            <w:rPr>
              <w:i/>
              <w:szCs w:val="20"/>
              <w:lang w:val="en-US"/>
            </w:rPr>
            <w:t>s</w:t>
          </w:r>
          <w:r>
            <w:rPr>
              <w:i/>
              <w:szCs w:val="20"/>
              <w:vertAlign w:val="subscript"/>
            </w:rPr>
            <w:t>1</w:t>
          </w:r>
          <w:r>
            <w:rPr>
              <w:i/>
              <w:szCs w:val="20"/>
            </w:rPr>
            <w:t>,…,</w:t>
          </w:r>
          <w:r>
            <w:rPr>
              <w:szCs w:val="20"/>
            </w:rPr>
            <w:t xml:space="preserve"> </w:t>
          </w:r>
          <w:r>
            <w:rPr>
              <w:i/>
              <w:iCs/>
              <w:szCs w:val="20"/>
              <w:lang w:val="en-US"/>
            </w:rPr>
            <w:t>s</w:t>
          </w:r>
          <w:r>
            <w:rPr>
              <w:i/>
              <w:iCs/>
              <w:szCs w:val="20"/>
              <w:vertAlign w:val="subscript"/>
              <w:lang w:val="en-US"/>
            </w:rPr>
            <w:t>i</w:t>
          </w:r>
          <w:r>
            <w:rPr>
              <w:i/>
              <w:iCs/>
              <w:szCs w:val="20"/>
              <w:vertAlign w:val="subscript"/>
            </w:rPr>
            <w:t>,</w:t>
          </w:r>
          <w:r>
            <w:rPr>
              <w:i/>
              <w:iCs/>
              <w:szCs w:val="20"/>
            </w:rPr>
            <w:t>…,</w:t>
          </w:r>
          <w:r>
            <w:rPr>
              <w:i/>
              <w:iCs/>
              <w:szCs w:val="20"/>
              <w:lang w:val="en-US"/>
            </w:rPr>
            <w:t>s</w:t>
          </w:r>
          <w:r>
            <w:rPr>
              <w:i/>
              <w:iCs/>
              <w:szCs w:val="20"/>
              <w:vertAlign w:val="subscript"/>
              <w:lang w:val="en-US"/>
            </w:rPr>
            <w:t>n</w:t>
          </w:r>
          <w:r>
            <w:rPr>
              <w:szCs w:val="20"/>
            </w:rPr>
            <w:t xml:space="preserve"> },</w:t>
            <w:tab/>
            <w:t>(1.1)</w:t>
          </w:r>
        </w:p>
        <w:p>
          <w:pPr>
            <w:pStyle w:val="BodyPaperText"/>
            <w:rPr/>
          </w:pPr>
          <w:r>
            <w:rPr>
              <w:szCs w:val="20"/>
            </w:rPr>
            <w:t xml:space="preserve">где </w:t>
          </w:r>
          <w:r>
            <w:rPr>
              <w:i/>
              <w:szCs w:val="20"/>
              <w:lang w:val="en-US"/>
            </w:rPr>
            <w:t>s</w:t>
          </w:r>
          <w:r>
            <w:rPr>
              <w:i/>
              <w:szCs w:val="20"/>
              <w:vertAlign w:val="subscript"/>
              <w:lang w:val="en-US"/>
            </w:rPr>
            <w:t>i</w:t>
          </w:r>
          <w:r>
            <w:rPr>
              <w:i/>
              <w:szCs w:val="20"/>
              <w:vertAlign w:val="subscript"/>
            </w:rPr>
            <w:t xml:space="preserve">  </w:t>
          </w:r>
          <w:r>
            <w:rPr>
              <w:szCs w:val="20"/>
            </w:rPr>
            <w:t>- предложение</w:t>
          </w:r>
        </w:p>
        <w:p>
          <w:pPr>
            <w:pStyle w:val="BodyPaperText"/>
            <w:rPr/>
          </w:pPr>
          <w:r>
            <w:rPr>
              <w:szCs w:val="20"/>
            </w:rPr>
            <w:t xml:space="preserve">Предложение </w:t>
          </w:r>
          <w:r>
            <w:rPr>
              <w:i/>
              <w:szCs w:val="20"/>
              <w:lang w:val="en-US"/>
            </w:rPr>
            <w:t>s</w:t>
          </w:r>
          <w:r>
            <w:rPr>
              <w:i/>
              <w:szCs w:val="20"/>
              <w:vertAlign w:val="subscript"/>
              <w:lang w:val="en-US"/>
            </w:rPr>
            <w:t>i</w:t>
          </w:r>
          <w:r>
            <w:rPr>
              <w:i/>
              <w:szCs w:val="20"/>
              <w:vertAlign w:val="subscript"/>
            </w:rPr>
            <w:t xml:space="preserve"> </w:t>
          </w:r>
          <w:r>
            <w:rPr>
              <w:szCs w:val="20"/>
            </w:rPr>
            <w:t xml:space="preserve">состоит из множества слов </w:t>
          </w:r>
          <w:r>
            <w:rPr>
              <w:i/>
              <w:szCs w:val="20"/>
              <w:lang w:val="en-US"/>
            </w:rPr>
            <w:t>w</w:t>
          </w:r>
          <w:r>
            <w:rPr>
              <w:i/>
              <w:szCs w:val="20"/>
              <w:vertAlign w:val="subscript"/>
              <w:lang w:val="en-US"/>
            </w:rPr>
            <w:t>ij</w:t>
          </w:r>
          <w:r>
            <w:rPr>
              <w:szCs w:val="20"/>
            </w:rPr>
            <w:t xml:space="preserve">, разделенных между собой символами-разделителями слов </w:t>
          </w:r>
          <w:r>
            <w:rPr>
              <w:i/>
              <w:szCs w:val="20"/>
            </w:rPr>
            <w:t>sep'</w:t>
          </w:r>
          <w:r>
            <w:rPr>
              <w:rStyle w:val="Cmmi101"/>
              <w:szCs w:val="20"/>
              <w:vertAlign w:val="subscript"/>
            </w:rPr>
            <w:t>ib</w:t>
          </w:r>
          <w:r>
            <w:rPr>
              <w:rStyle w:val="Cmsy10"/>
              <w:szCs w:val="20"/>
              <w:vertAlign w:val="subscript"/>
            </w:rPr>
            <w:t>′</w:t>
          </w:r>
          <w:r>
            <w:rPr>
              <w:szCs w:val="20"/>
            </w:rPr>
            <w:t xml:space="preserve">, а также из символов конца предложения </w:t>
          </w:r>
          <w:r>
            <w:rPr>
              <w:rStyle w:val="Cmmi12xx1201"/>
              <w:sz w:val="20"/>
              <w:szCs w:val="20"/>
            </w:rPr>
            <w:t>sep</w:t>
          </w:r>
          <w:r>
            <w:rPr>
              <w:rStyle w:val="Cmmi101"/>
              <w:szCs w:val="20"/>
              <w:vertAlign w:val="subscript"/>
            </w:rPr>
            <w:t xml:space="preserve">ik </w:t>
          </w:r>
          <w:r>
            <w:rPr>
              <w:rStyle w:val="Cmmi101"/>
              <w:i w:val="false"/>
              <w:szCs w:val="20"/>
            </w:rPr>
            <w:t>(см. ф. 1.2).</w:t>
          </w:r>
        </w:p>
        <w:p>
          <w:pPr>
            <w:pStyle w:val="BodyPaperText"/>
            <w:tabs>
              <w:tab w:val="clear" w:pos="468"/>
              <w:tab w:val="left" w:pos="1418" w:leader="none"/>
              <w:tab w:val="right" w:pos="4536" w:leader="none"/>
              <w:tab w:val="left" w:pos="5963" w:leader="none"/>
            </w:tabs>
            <w:spacing w:before="120" w:after="120"/>
            <w:ind w:hanging="0"/>
            <w:rPr/>
          </w:pPr>
          <w:r>
            <w:rPr>
              <w:szCs w:val="20"/>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Cs w:val="20"/>
            </w:rPr>
            <w:t>,</w:t>
            <w:tab/>
          </w:r>
          <w:r>
            <w:rPr>
              <w:szCs w:val="20"/>
            </w:rPr>
            <w:t>(1.2)</w:t>
          </w:r>
        </w:p>
        <w:p>
          <w:pPr>
            <w:pStyle w:val="BodyPaperText"/>
            <w:rPr/>
          </w:pPr>
          <w:r>
            <w:rPr>
              <w:szCs w:val="20"/>
            </w:rPr>
            <w:t xml:space="preserve">где </w:t>
          </w:r>
          <w:r>
            <w:rPr>
              <w:i/>
              <w:szCs w:val="20"/>
              <w:lang w:val="en-US"/>
            </w:rPr>
            <w:t>i</w:t>
          </w:r>
          <w:r>
            <w:rPr>
              <w:i/>
              <w:szCs w:val="20"/>
            </w:rPr>
            <w:t xml:space="preserve"> </w:t>
          </w:r>
          <w:r>
            <w:rPr>
              <w:szCs w:val="20"/>
            </w:rPr>
            <w:t>- номер</w:t>
          </w:r>
          <w:r>
            <w:rPr>
              <w:i/>
              <w:szCs w:val="20"/>
            </w:rPr>
            <w:t xml:space="preserve"> </w:t>
          </w:r>
          <w:r>
            <w:rPr>
              <w:szCs w:val="20"/>
            </w:rPr>
            <w:t>предложения,</w:t>
          </w:r>
          <w:r>
            <w:rPr>
              <w:i/>
              <w:szCs w:val="20"/>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rPr/>
          </w:pPr>
          <w:r>
            <w:rPr>
              <w:rStyle w:val="Cmmi12xx1201"/>
              <w:sz w:val="20"/>
              <w:szCs w:val="20"/>
            </w:rPr>
            <w:t xml:space="preserve">n </w:t>
          </w:r>
          <w:r>
            <w:rPr>
              <w:szCs w:val="20"/>
            </w:rPr>
            <w:t xml:space="preserve">- количество предложений в текстовом документе </w:t>
          </w:r>
          <w:r>
            <w:rPr>
              <w:i/>
              <w:szCs w:val="20"/>
            </w:rPr>
            <w:t>D</w:t>
          </w:r>
          <w:r>
            <w:rPr>
              <w:szCs w:val="20"/>
            </w:rPr>
            <w:t xml:space="preserve"> </w:t>
          </w:r>
        </w:p>
        <w:p>
          <w:pPr>
            <w:pStyle w:val="BodyPaperText"/>
            <w:rPr/>
          </w:pPr>
          <w:r>
            <w:rPr>
              <w:rStyle w:val="Cmmi12xx1201"/>
              <w:sz w:val="20"/>
              <w:szCs w:val="20"/>
            </w:rPr>
            <w:t>k</w:t>
          </w:r>
          <w:r>
            <w:rPr>
              <w:rStyle w:val="Cmsy10xx1441"/>
              <w:sz w:val="20"/>
              <w:szCs w:val="20"/>
            </w:rPr>
            <w:t>′</w:t>
          </w:r>
          <w:r>
            <w:rPr>
              <w:szCs w:val="20"/>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rPr/>
          </w:pPr>
          <w:r>
            <w:rPr>
              <w:rStyle w:val="Cmmi12xx1201"/>
              <w:sz w:val="20"/>
              <w:szCs w:val="20"/>
            </w:rPr>
            <w:t xml:space="preserve">k </w:t>
          </w:r>
          <w:r>
            <w:rPr>
              <w:szCs w:val="20"/>
            </w:rPr>
            <w:t xml:space="preserve">- количество символов конца предложения </w:t>
          </w:r>
          <w:r>
            <w:rPr>
              <w:rStyle w:val="Cmmi12xx1201"/>
              <w:sz w:val="20"/>
              <w:szCs w:val="20"/>
            </w:rPr>
            <w:t>s</w:t>
          </w:r>
          <w:r>
            <w:rPr>
              <w:rStyle w:val="Cmmi101"/>
              <w:szCs w:val="20"/>
              <w:vertAlign w:val="subscript"/>
            </w:rPr>
            <w:t>i</w:t>
          </w:r>
          <w:r>
            <w:rPr>
              <w:szCs w:val="20"/>
            </w:rPr>
            <w:t xml:space="preserve"> </w:t>
          </w:r>
        </w:p>
        <w:p>
          <w:pPr>
            <w:pStyle w:val="BodyPaperText"/>
            <w:rPr/>
          </w:pPr>
          <w:r>
            <w:rPr>
              <w:rStyle w:val="Cmmi12xx1201"/>
              <w:sz w:val="20"/>
              <w:szCs w:val="20"/>
            </w:rPr>
            <w:t>b</w:t>
          </w:r>
          <w:r>
            <w:rPr>
              <w:rStyle w:val="Cmsy10xx1441"/>
              <w:sz w:val="20"/>
              <w:szCs w:val="20"/>
            </w:rPr>
            <w:t xml:space="preserve">′ </w:t>
          </w:r>
          <w:r>
            <w:rPr>
              <w:szCs w:val="20"/>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Cs w:val="20"/>
            </w:rPr>
            <w:t xml:space="preserve"> </w:t>
          </w:r>
        </w:p>
        <w:p>
          <w:pPr>
            <w:pStyle w:val="BodyPaperText"/>
            <w:rPr/>
          </w:pPr>
          <w:r>
            <w:rPr>
              <w:rStyle w:val="Cmmi12xx1201"/>
              <w:sz w:val="20"/>
              <w:szCs w:val="20"/>
            </w:rPr>
            <w:t xml:space="preserve">b </w:t>
          </w:r>
          <w:r>
            <w:rPr>
              <w:szCs w:val="20"/>
            </w:rPr>
            <w:t xml:space="preserve">- количество символов-разделителей слов </w:t>
          </w:r>
          <w:r>
            <w:rPr>
              <w:rStyle w:val="Cmmi12xx1201"/>
              <w:sz w:val="20"/>
              <w:szCs w:val="20"/>
            </w:rPr>
            <w:t>w</w:t>
          </w:r>
          <w:r>
            <w:rPr>
              <w:rStyle w:val="Cmmi101"/>
              <w:szCs w:val="20"/>
              <w:vertAlign w:val="subscript"/>
            </w:rPr>
            <w:t>ij</w:t>
          </w:r>
          <w:r>
            <w:rPr>
              <w:szCs w:val="20"/>
            </w:rPr>
            <w:t xml:space="preserve"> в предложении </w:t>
          </w:r>
          <w:r>
            <w:rPr>
              <w:rStyle w:val="Cmmi12xx1201"/>
              <w:sz w:val="20"/>
              <w:szCs w:val="20"/>
            </w:rPr>
            <w:t>s</w:t>
          </w:r>
          <w:r>
            <w:rPr>
              <w:rStyle w:val="Cmmi101"/>
              <w:szCs w:val="20"/>
              <w:vertAlign w:val="subscript"/>
            </w:rPr>
            <w:t>i</w:t>
          </w:r>
        </w:p>
        <w:p>
          <w:pPr>
            <w:pStyle w:val="BodyPaperText"/>
            <w:rPr/>
          </w:pPr>
          <w:r>
            <w:rPr>
              <w:i/>
              <w:szCs w:val="20"/>
              <w:lang w:val="en-US"/>
            </w:rPr>
            <w:t>w</w:t>
          </w:r>
          <w:r>
            <w:rPr>
              <w:i/>
              <w:szCs w:val="20"/>
              <w:vertAlign w:val="subscript"/>
              <w:lang w:val="en-US"/>
            </w:rPr>
            <w:t>ij</w:t>
          </w:r>
          <w:r>
            <w:rPr>
              <w:rStyle w:val="Cmmi12xx1201"/>
              <w:sz w:val="20"/>
              <w:szCs w:val="20"/>
            </w:rPr>
            <w:t xml:space="preserve"> </w:t>
          </w:r>
          <w:r>
            <w:rPr>
              <w:szCs w:val="20"/>
            </w:rPr>
            <w:t xml:space="preserve">- слово, </w:t>
          </w:r>
          <w:r>
            <w:rPr>
              <w:i/>
              <w:szCs w:val="20"/>
              <w:lang w:val="en-US"/>
            </w:rPr>
            <w:t>w</w:t>
          </w:r>
          <w:r>
            <w:rPr>
              <w:i/>
              <w:szCs w:val="20"/>
              <w:vertAlign w:val="subscript"/>
              <w:lang w:val="en-US"/>
            </w:rPr>
            <w:t>ij</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W</w:t>
          </w:r>
        </w:p>
        <w:p>
          <w:pPr>
            <w:pStyle w:val="BodyPaperText"/>
            <w:rPr>
              <w:szCs w:val="20"/>
            </w:rPr>
          </w:pPr>
          <w:r>
            <w:rPr>
              <w:szCs w:val="20"/>
            </w:rPr>
          </w:r>
        </w:p>
        <w:p>
          <w:pPr>
            <w:pStyle w:val="BodyPaperText"/>
            <w:rPr/>
          </w:pPr>
          <w:r>
            <w:rPr>
              <w:szCs w:val="20"/>
            </w:rPr>
            <w:t xml:space="preserve">Опишем слово </w:t>
          </w:r>
          <w:r>
            <w:rPr>
              <w:i/>
              <w:szCs w:val="20"/>
              <w:lang w:val="en-US"/>
            </w:rPr>
            <w:t>w</w:t>
          </w:r>
          <w:r>
            <w:rPr>
              <w:i/>
              <w:szCs w:val="20"/>
              <w:vertAlign w:val="subscript"/>
              <w:lang w:val="en-US"/>
            </w:rPr>
            <w:t>ij</w:t>
          </w:r>
          <w:r>
            <w:rPr>
              <w:i/>
              <w:szCs w:val="20"/>
              <w:vertAlign w:val="subscript"/>
            </w:rPr>
            <w:t xml:space="preserve"> </w:t>
          </w:r>
          <w:r>
            <w:rPr>
              <w:szCs w:val="20"/>
            </w:rPr>
            <w:t xml:space="preserve">предложения </w:t>
          </w:r>
          <w:r>
            <w:rPr>
              <w:i/>
              <w:szCs w:val="20"/>
              <w:lang w:val="en-US"/>
            </w:rPr>
            <w:t>s</w:t>
          </w:r>
          <w:r>
            <w:rPr>
              <w:i/>
              <w:szCs w:val="20"/>
              <w:vertAlign w:val="subscript"/>
              <w:lang w:val="en-US"/>
            </w:rPr>
            <w:t>i</w:t>
          </w:r>
          <w:r>
            <w:rPr>
              <w:szCs w:val="20"/>
            </w:rPr>
            <w:t xml:space="preserve"> как множество, состоящее из символов русского алфавита и символа дефиса (см. ф. 1.3).</w:t>
          </w:r>
        </w:p>
        <w:p>
          <w:pPr>
            <w:pStyle w:val="BodyPaperText"/>
            <w:tabs>
              <w:tab w:val="clear" w:pos="468"/>
              <w:tab w:val="left" w:pos="2127" w:leader="none"/>
              <w:tab w:val="left" w:pos="5954" w:leader="none"/>
            </w:tabs>
            <w:spacing w:before="120" w:after="120"/>
            <w:ind w:hanging="0"/>
            <w:rPr/>
          </w:pPr>
          <w:r>
            <w:rPr>
              <w:szCs w:val="20"/>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Cs w:val="20"/>
            </w:rPr>
            <w:t>,</w:t>
            <w:tab/>
            <w:t>(1.3)</w:t>
          </w:r>
        </w:p>
        <w:p>
          <w:pPr>
            <w:pStyle w:val="BodyPaperText"/>
            <w:rPr/>
          </w:pPr>
          <w:r>
            <w:rPr>
              <w:szCs w:val="20"/>
            </w:rPr>
            <w:t xml:space="preserve">где </w:t>
          </w:r>
          <w:r>
            <w:rPr>
              <w:rStyle w:val="Cmmi12xx1201"/>
              <w:sz w:val="20"/>
              <w:szCs w:val="20"/>
            </w:rPr>
            <w:t xml:space="preserve">j </w:t>
          </w:r>
          <w:r>
            <w:rPr>
              <w:szCs w:val="20"/>
            </w:rPr>
            <w:t xml:space="preserve">- номер слова в предложении </w:t>
          </w:r>
          <w:r>
            <w:rPr>
              <w:rStyle w:val="Cmmi12xx1201"/>
              <w:sz w:val="20"/>
              <w:szCs w:val="20"/>
            </w:rPr>
            <w:t>s</w:t>
          </w:r>
          <w:r>
            <w:rPr>
              <w:rStyle w:val="Cmmi101"/>
              <w:szCs w:val="20"/>
              <w:vertAlign w:val="subscript"/>
            </w:rPr>
            <w:t>i</w:t>
          </w:r>
          <w:r>
            <w:rPr>
              <w:rStyle w:val="Cmmi101"/>
              <w:szCs w:val="20"/>
            </w:rPr>
            <w:t>,</w:t>
          </w:r>
          <w:r>
            <w:rPr>
              <w:rStyle w:val="Cmmi12xx1201"/>
              <w:sz w:val="20"/>
              <w:szCs w:val="20"/>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rPr/>
          </w:pPr>
          <w:r>
            <w:rPr>
              <w:rStyle w:val="Cmmi12xx1201"/>
              <w:sz w:val="20"/>
              <w:szCs w:val="20"/>
            </w:rPr>
            <w:t xml:space="preserve">m </w:t>
          </w:r>
          <w:r>
            <w:rPr>
              <w:szCs w:val="20"/>
            </w:rPr>
            <w:t xml:space="preserve">- количество слов в предложении </w:t>
          </w:r>
          <w:r>
            <w:rPr>
              <w:rStyle w:val="Cmmi12xx1201"/>
              <w:sz w:val="20"/>
              <w:szCs w:val="20"/>
            </w:rPr>
            <w:t>s</w:t>
          </w:r>
          <w:r>
            <w:rPr>
              <w:rStyle w:val="Cmmi101"/>
              <w:szCs w:val="20"/>
              <w:vertAlign w:val="subscript"/>
            </w:rPr>
            <w:t>i</w:t>
          </w:r>
          <w:r>
            <w:rPr>
              <w:szCs w:val="20"/>
            </w:rPr>
            <w:t xml:space="preserve"> </w:t>
          </w:r>
        </w:p>
        <w:p>
          <w:pPr>
            <w:pStyle w:val="BodyPaperText"/>
            <w:rPr/>
          </w:pPr>
          <w:r>
            <w:rPr>
              <w:rStyle w:val="Cmmi12xx1201"/>
              <w:sz w:val="20"/>
              <w:szCs w:val="20"/>
            </w:rPr>
            <w:t>l</w:t>
          </w:r>
          <w:r>
            <w:rPr>
              <w:rStyle w:val="Cmmi101"/>
              <w:szCs w:val="20"/>
              <w:vertAlign w:val="subscript"/>
            </w:rPr>
            <w:t>ija</w:t>
          </w:r>
          <w:r>
            <w:rPr>
              <w:rStyle w:val="Cmsy10"/>
              <w:szCs w:val="20"/>
              <w:vertAlign w:val="subscript"/>
            </w:rPr>
            <w:t>′</w:t>
          </w:r>
          <w:r>
            <w:rPr>
              <w:szCs w:val="20"/>
            </w:rPr>
            <w:t xml:space="preserve"> - символ в слове </w:t>
          </w:r>
          <w:r>
            <w:rPr>
              <w:rStyle w:val="Cmmi12xx1201"/>
              <w:sz w:val="20"/>
              <w:szCs w:val="20"/>
            </w:rPr>
            <w:t>w</w:t>
          </w:r>
          <w:r>
            <w:rPr>
              <w:rStyle w:val="Cmmi101"/>
              <w:szCs w:val="20"/>
              <w:vertAlign w:val="subscript"/>
            </w:rPr>
            <w:t>ij</w:t>
          </w:r>
          <w:r>
            <w:rPr>
              <w:szCs w:val="20"/>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rPr/>
          </w:pPr>
          <w:r>
            <w:rPr>
              <w:rStyle w:val="Cmsy10"/>
              <w:i/>
              <w:szCs w:val="20"/>
              <w:lang w:val="en-US"/>
            </w:rPr>
            <w:t>L</w:t>
          </w:r>
          <w:r>
            <w:rPr>
              <w:rStyle w:val="Cmsy10"/>
              <w:szCs w:val="20"/>
            </w:rPr>
            <w:t xml:space="preserve"> – множество символов кириллического алфавита, а также символ дефиса (‘-’)</w:t>
          </w:r>
        </w:p>
        <w:p>
          <w:pPr>
            <w:pStyle w:val="BodyPaperText"/>
            <w:rPr/>
          </w:pPr>
          <w:r>
            <w:rPr>
              <w:rStyle w:val="Cmmi12xx1201"/>
              <w:sz w:val="20"/>
              <w:szCs w:val="20"/>
            </w:rPr>
            <w:t>a</w:t>
          </w:r>
          <w:r>
            <w:rPr>
              <w:rStyle w:val="Cmsy10xx1441"/>
              <w:sz w:val="20"/>
              <w:szCs w:val="20"/>
            </w:rPr>
            <w:t xml:space="preserve">′ </w:t>
          </w:r>
          <w:r>
            <w:rPr>
              <w:szCs w:val="20"/>
            </w:rPr>
            <w:t xml:space="preserve">- номер буквы в слове </w:t>
          </w:r>
          <w:r>
            <w:rPr>
              <w:rStyle w:val="Cmmi12xx1201"/>
              <w:sz w:val="20"/>
              <w:szCs w:val="20"/>
            </w:rPr>
            <w:t>w</w:t>
          </w:r>
          <w:r>
            <w:rPr>
              <w:rStyle w:val="Cmmi101"/>
              <w:szCs w:val="20"/>
              <w:vertAlign w:val="subscript"/>
            </w:rPr>
            <w:t>ij</w:t>
          </w:r>
          <w:r>
            <w:rPr>
              <w:szCs w:val="20"/>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Cs w:val="20"/>
            </w:rPr>
            <w:t xml:space="preserve"> </w:t>
          </w:r>
        </w:p>
        <w:p>
          <w:pPr>
            <w:pStyle w:val="BodyPaperText"/>
            <w:rPr/>
          </w:pPr>
          <w:r>
            <w:rPr>
              <w:rStyle w:val="Cmmi12xx1201"/>
              <w:sz w:val="20"/>
              <w:szCs w:val="20"/>
            </w:rPr>
            <w:t xml:space="preserve">a </w:t>
          </w:r>
          <w:r>
            <w:rPr>
              <w:szCs w:val="20"/>
            </w:rPr>
            <w:t xml:space="preserve">- количество символов в слове </w:t>
          </w:r>
          <w:r>
            <w:rPr>
              <w:rStyle w:val="Cmmi12xx1201"/>
              <w:sz w:val="20"/>
              <w:szCs w:val="20"/>
            </w:rPr>
            <w:t>w</w:t>
          </w:r>
          <w:r>
            <w:rPr>
              <w:rStyle w:val="Cmmi101"/>
              <w:szCs w:val="20"/>
              <w:vertAlign w:val="subscript"/>
            </w:rPr>
            <w:t>ij</w:t>
          </w:r>
          <w:r>
            <w:rPr>
              <w:szCs w:val="20"/>
            </w:rPr>
            <w:t xml:space="preserve"> </w:t>
          </w:r>
        </w:p>
        <w:p>
          <w:pPr>
            <w:pStyle w:val="BodyPaperText"/>
            <w:rPr/>
          </w:pPr>
          <w:r>
            <w:rPr>
              <w:rStyle w:val="Cmmi12xx1201"/>
              <w:sz w:val="20"/>
              <w:szCs w:val="20"/>
            </w:rPr>
            <w:t>sep</w:t>
          </w:r>
          <w:r>
            <w:rPr>
              <w:rStyle w:val="Cmmi101"/>
              <w:szCs w:val="20"/>
              <w:vertAlign w:val="subscript"/>
            </w:rPr>
            <w:t>ik</w:t>
          </w:r>
          <w:r>
            <w:rPr>
              <w:rStyle w:val="Cmsy10"/>
              <w:szCs w:val="20"/>
              <w:vertAlign w:val="subscript"/>
            </w:rPr>
            <w:t>′</w:t>
          </w:r>
          <w:r>
            <w:rPr>
              <w:szCs w:val="20"/>
            </w:rPr>
            <w:t xml:space="preserve"> - символ окончания предложения </w:t>
          </w:r>
          <w:r>
            <w:rPr>
              <w:rStyle w:val="Cmmi12xx1201"/>
              <w:sz w:val="20"/>
              <w:szCs w:val="20"/>
              <w:lang w:val="en-US"/>
            </w:rPr>
            <w:t>s</w:t>
          </w:r>
          <w:r>
            <w:rPr>
              <w:rStyle w:val="Cmmi101"/>
              <w:szCs w:val="20"/>
              <w:vertAlign w:val="subscript"/>
            </w:rPr>
            <w:t>i</w:t>
          </w:r>
          <w:r>
            <w:rPr>
              <w:rStyle w:val="Cmmi101"/>
              <w:i w:val="false"/>
              <w:szCs w:val="20"/>
            </w:rPr>
            <w:t>,</w:t>
          </w:r>
          <w:r>
            <w:rPr>
              <w:rStyle w:val="Cmmi101"/>
              <w:szCs w:val="20"/>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Cs w:val="20"/>
            </w:rPr>
            <w:t xml:space="preserve"> </w:t>
          </w:r>
        </w:p>
        <w:p>
          <w:pPr>
            <w:pStyle w:val="BodyPaperText"/>
            <w:rPr/>
          </w:pPr>
          <w:r>
            <w:rPr>
              <w:rStyle w:val="Cmmi12xx1201"/>
              <w:sz w:val="20"/>
              <w:szCs w:val="20"/>
            </w:rPr>
            <w:t>sep</w:t>
          </w:r>
          <w:r>
            <w:rPr>
              <w:rStyle w:val="Cmsy10xx1441"/>
              <w:sz w:val="20"/>
              <w:szCs w:val="20"/>
            </w:rPr>
            <w:t>′</w:t>
          </w:r>
          <w:r>
            <w:rPr>
              <w:rStyle w:val="Cmmi101"/>
              <w:szCs w:val="20"/>
              <w:vertAlign w:val="subscript"/>
            </w:rPr>
            <w:t>ib</w:t>
          </w:r>
          <w:r>
            <w:rPr>
              <w:rStyle w:val="Cmsy10"/>
              <w:szCs w:val="20"/>
              <w:vertAlign w:val="subscript"/>
            </w:rPr>
            <w:t>′</w:t>
          </w:r>
          <w:r>
            <w:rPr>
              <w:szCs w:val="20"/>
            </w:rPr>
            <w:t xml:space="preserve"> - разделитель слов </w:t>
          </w:r>
          <w:r>
            <w:rPr>
              <w:rStyle w:val="Cmmi12xx1201"/>
              <w:sz w:val="20"/>
              <w:szCs w:val="20"/>
            </w:rPr>
            <w:t>w</w:t>
          </w:r>
          <w:r>
            <w:rPr>
              <w:rStyle w:val="Cmmi101"/>
              <w:szCs w:val="20"/>
              <w:vertAlign w:val="subscript"/>
            </w:rPr>
            <w:t>ij</w:t>
          </w:r>
          <w:r>
            <w:rPr>
              <w:szCs w:val="20"/>
            </w:rPr>
            <w:t xml:space="preserve"> и </w:t>
          </w:r>
          <w:r>
            <w:rPr>
              <w:rStyle w:val="Cmmi12xx1201"/>
              <w:sz w:val="20"/>
              <w:szCs w:val="20"/>
            </w:rPr>
            <w:t>w</w:t>
          </w:r>
          <w:r>
            <w:rPr>
              <w:rStyle w:val="Cmmi101"/>
              <w:szCs w:val="20"/>
              <w:vertAlign w:val="subscript"/>
            </w:rPr>
            <w:t>ij+1</w:t>
          </w:r>
          <w:r>
            <w:rPr>
              <w:szCs w:val="20"/>
            </w:rPr>
            <w:t xml:space="preserve"> в предложении </w:t>
          </w:r>
          <w:r>
            <w:rPr>
              <w:rStyle w:val="Cmmi12xx1201"/>
              <w:sz w:val="20"/>
              <w:szCs w:val="20"/>
              <w:lang w:val="en-US"/>
            </w:rPr>
            <w:t>s</w:t>
          </w:r>
          <w:r>
            <w:rPr>
              <w:rStyle w:val="Cmmi101"/>
              <w:szCs w:val="20"/>
              <w:vertAlign w:val="subscript"/>
            </w:rPr>
            <w:t>i</w:t>
          </w:r>
          <w:r>
            <w:rPr>
              <w:szCs w:val="20"/>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Cs w:val="20"/>
            </w:rPr>
            <w:t xml:space="preserve"> </w:t>
          </w:r>
        </w:p>
        <w:p>
          <w:pPr>
            <w:pStyle w:val="BodyPaperText"/>
            <w:rPr/>
          </w:pPr>
          <w:r>
            <w:rPr>
              <w:rStyle w:val="Cmmi12xx1201"/>
              <w:sz w:val="20"/>
              <w:szCs w:val="20"/>
            </w:rPr>
            <w:t xml:space="preserve">Sep </w:t>
          </w:r>
          <w:r>
            <w:rPr>
              <w:rStyle w:val="Cmmi12xx1201"/>
              <w:i w:val="false"/>
              <w:sz w:val="20"/>
              <w:szCs w:val="20"/>
            </w:rPr>
            <w:t xml:space="preserve">- </w:t>
          </w:r>
          <w:r>
            <w:rPr>
              <w:szCs w:val="20"/>
            </w:rPr>
            <w:t>множество символов окончания предложений. Значения данного множества представлены на ф. 1.4.</w:t>
          </w:r>
        </w:p>
        <w:p>
          <w:pPr>
            <w:pStyle w:val="BodyPaperText"/>
            <w:tabs>
              <w:tab w:val="clear" w:pos="468"/>
              <w:tab w:val="left" w:pos="2410" w:leader="none"/>
              <w:tab w:val="left" w:pos="5954" w:leader="none"/>
            </w:tabs>
            <w:spacing w:before="120" w:after="120"/>
            <w:ind w:hanging="0"/>
            <w:rPr/>
          </w:pPr>
          <w:r>
            <w:rPr>
              <w:szCs w:val="20"/>
            </w:rPr>
            <w:tab/>
          </w:r>
          <w:r>
            <w:rPr>
              <w:rStyle w:val="Cmmi12xx1201"/>
              <w:sz w:val="20"/>
              <w:szCs w:val="20"/>
            </w:rPr>
            <w:t xml:space="preserve">Sep </w:t>
          </w:r>
          <w:r>
            <w:rPr>
              <w:rStyle w:val="Cmr12xx1201"/>
              <w:sz w:val="20"/>
              <w:szCs w:val="20"/>
            </w:rPr>
            <w:t xml:space="preserve">= </w:t>
          </w:r>
          <w:r>
            <w:rPr>
              <w:rStyle w:val="Cmsy10xx1441"/>
              <w:sz w:val="20"/>
              <w:szCs w:val="20"/>
            </w:rPr>
            <w:t>{</w:t>
          </w:r>
          <w:r>
            <w:rPr>
              <w:rStyle w:val="Latt14401"/>
              <w:rFonts w:cs="Times New Roman"/>
              <w:sz w:val="20"/>
              <w:szCs w:val="20"/>
            </w:rPr>
            <w:t>’.’, ’!’, ’?’</w:t>
          </w:r>
          <w:r>
            <w:rPr>
              <w:rStyle w:val="Cmsy10xx1441"/>
              <w:sz w:val="20"/>
              <w:szCs w:val="20"/>
            </w:rPr>
            <w:t>}</w:t>
            <w:tab/>
            <w:t>(1.4)</w:t>
          </w:r>
        </w:p>
        <w:p>
          <w:pPr>
            <w:pStyle w:val="BodyPaperText"/>
            <w:rPr/>
          </w:pPr>
          <w:r>
            <w:rPr>
              <w:rStyle w:val="Cmmi12xx1201"/>
              <w:sz w:val="20"/>
              <w:szCs w:val="20"/>
            </w:rPr>
            <w:t>Sep</w:t>
          </w:r>
          <w:r>
            <w:rPr>
              <w:rStyle w:val="Cmsy10"/>
              <w:szCs w:val="20"/>
              <w:vertAlign w:val="superscript"/>
            </w:rPr>
            <w:t>′</w:t>
          </w:r>
          <w:r>
            <w:rPr>
              <w:szCs w:val="20"/>
            </w:rPr>
            <w:t xml:space="preserve"> - множество символов-разделителей слов в предложении. Значения данного множества представлены на ф. 1.5.</w:t>
          </w:r>
        </w:p>
        <w:p>
          <w:pPr>
            <w:pStyle w:val="BodyPaperText"/>
            <w:tabs>
              <w:tab w:val="clear" w:pos="468"/>
              <w:tab w:val="left" w:pos="2127" w:leader="none"/>
              <w:tab w:val="left" w:pos="5954" w:leader="none"/>
            </w:tabs>
            <w:spacing w:before="120" w:after="120"/>
            <w:ind w:hanging="0"/>
            <w:rPr/>
          </w:pPr>
          <w:r>
            <w:rPr>
              <w:szCs w:val="20"/>
            </w:rPr>
            <w:tab/>
          </w:r>
          <w:r>
            <w:rPr>
              <w:rStyle w:val="Cmmi12xx1201"/>
              <w:sz w:val="20"/>
              <w:szCs w:val="20"/>
              <w:lang w:val="en-US"/>
            </w:rPr>
            <w:t>Sep</w:t>
          </w:r>
          <w:r>
            <w:rPr>
              <w:rStyle w:val="Cmsy10"/>
              <w:szCs w:val="20"/>
              <w:vertAlign w:val="superscript"/>
              <w:lang w:val="en-US"/>
            </w:rPr>
            <w:t>′</w:t>
          </w:r>
          <w:r>
            <w:rPr>
              <w:szCs w:val="20"/>
              <w:lang w:val="en-US"/>
            </w:rPr>
            <w:t xml:space="preserve"> </w:t>
          </w:r>
          <w:r>
            <w:rPr>
              <w:rStyle w:val="Cmr12xx1201"/>
              <w:sz w:val="20"/>
              <w:szCs w:val="20"/>
              <w:lang w:val="en-US"/>
            </w:rPr>
            <w:t xml:space="preserve">= </w:t>
          </w:r>
          <w:r>
            <w:rPr>
              <w:rStyle w:val="Cmsy10xx1441"/>
              <w:sz w:val="20"/>
              <w:szCs w:val="20"/>
              <w:lang w:val="en-US"/>
            </w:rPr>
            <w:t>{</w:t>
          </w:r>
          <w:r>
            <w:rPr>
              <w:rStyle w:val="Latt14401"/>
              <w:rFonts w:cs="Times New Roman"/>
              <w:sz w:val="20"/>
              <w:szCs w:val="20"/>
              <w:lang w:val="en-US"/>
            </w:rPr>
            <w:t>’ ’, ’,’, ’;’, ’-’, ’:’</w:t>
          </w:r>
          <w:r>
            <w:rPr>
              <w:rStyle w:val="Cmsy10xx1441"/>
              <w:sz w:val="20"/>
              <w:szCs w:val="20"/>
              <w:lang w:val="en-US"/>
            </w:rPr>
            <w:t>}</w:t>
            <w:tab/>
            <w:t>(1.5)</w:t>
          </w:r>
        </w:p>
        <w:p>
          <w:pPr>
            <w:pStyle w:val="BodyPaperText"/>
            <w:rPr/>
          </w:pPr>
          <w:r>
            <w:rPr>
              <w:szCs w:val="20"/>
            </w:rPr>
            <w:t xml:space="preserve">Каждое слово обладает морфологической парадигмой </w:t>
          </w:r>
          <w:r>
            <w:rPr>
              <w:i/>
              <w:szCs w:val="20"/>
            </w:rPr>
            <w:t>Wf</w:t>
          </w:r>
          <w:r>
            <w:rPr>
              <w:szCs w:val="20"/>
            </w:rPr>
            <w:t xml:space="preserve"> — системой словоформ, образующих одну лексему </w:t>
          </w:r>
          <w:r>
            <w:rPr>
              <w:szCs w:val="20"/>
            </w:rPr>
            <w:fldChar w:fldCharType="begin"/>
          </w:r>
          <w:r>
            <w:rPr>
              <w:szCs w:val="20"/>
            </w:rPr>
            <w:instrText> REF %D1%81%D0%BB%D0%BE%D0%B2%D0%B0%D1%80%D1% \h </w:instrText>
          </w:r>
          <w:r>
            <w:rPr>
              <w:szCs w:val="20"/>
            </w:rPr>
            <w:fldChar w:fldCharType="separate"/>
          </w:r>
          <w:r>
            <w:rPr>
              <w:szCs w:val="20"/>
            </w:rPr>
            <w:t>Error: Reference source not found</w:t>
          </w:r>
          <w:r>
            <w:rPr>
              <w:szCs w:val="20"/>
            </w:rPr>
            <w:fldChar w:fldCharType="end"/>
          </w:r>
          <w:r>
            <w:rPr>
              <w:szCs w:val="20"/>
            </w:rPr>
            <w:t xml:space="preserve">. Словоформа – это слово в некоторой грамматической форме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szCs w:val="20"/>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Cs w:val="20"/>
            </w:rPr>
            <w:t>Wf</w:t>
          </w:r>
          <w:r>
            <w:rPr>
              <w:szCs w:val="20"/>
            </w:rPr>
            <w:t xml:space="preserve"> - это множество словоформ одного слова. </w:t>
          </w:r>
        </w:p>
        <w:p>
          <w:pPr>
            <w:pStyle w:val="BodyPaperText"/>
            <w:tabs>
              <w:tab w:val="clear" w:pos="468"/>
              <w:tab w:val="left" w:pos="1418" w:leader="none"/>
              <w:tab w:val="left" w:pos="5812" w:leader="none"/>
            </w:tabs>
            <w:spacing w:before="120" w:after="120"/>
            <w:jc w:val="center"/>
            <w:rPr/>
          </w:pPr>
          <w:r>
            <w:rPr>
              <w:szCs w:val="20"/>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Cs w:val="20"/>
            </w:rPr>
            <w:t>,</w:t>
            <w:tab/>
            <w:t>(1.6)</w:t>
          </w:r>
        </w:p>
        <w:p>
          <w:pPr>
            <w:pStyle w:val="BodyPaperText"/>
            <w:rPr/>
          </w:pPr>
          <w:r>
            <w:rPr>
              <w:szCs w:val="20"/>
            </w:rPr>
            <w:t>где</w:t>
          </w:r>
          <w:r>
            <w:rPr>
              <w:i/>
              <w:szCs w:val="20"/>
            </w:rPr>
            <w:t xml:space="preserve"> wf</w:t>
          </w:r>
          <w:r>
            <w:rPr>
              <w:i/>
              <w:szCs w:val="20"/>
              <w:vertAlign w:val="subscript"/>
            </w:rPr>
            <w:t>e'</w:t>
          </w:r>
          <w:r>
            <w:rPr>
              <w:szCs w:val="20"/>
            </w:rPr>
            <w:t xml:space="preserve"> – словоформа,</w:t>
          </w:r>
        </w:p>
        <w:p>
          <w:pPr>
            <w:pStyle w:val="BodyPaperText"/>
            <w:rPr/>
          </w:pPr>
          <w:r>
            <w:rPr>
              <w:rStyle w:val="Cmmi12xx1201"/>
              <w:sz w:val="20"/>
              <w:szCs w:val="20"/>
            </w:rPr>
            <w:t xml:space="preserve">e </w:t>
          </w:r>
          <w:r>
            <w:rPr>
              <w:szCs w:val="20"/>
            </w:rPr>
            <w:t xml:space="preserve">- количество словоформ одной парадигмы </w:t>
          </w:r>
        </w:p>
        <w:p>
          <w:pPr>
            <w:pStyle w:val="BodyPaperText"/>
            <w:rPr/>
          </w:pPr>
          <w:r>
            <w:rPr>
              <w:rStyle w:val="Cmmi12xx1201"/>
              <w:sz w:val="20"/>
              <w:szCs w:val="20"/>
            </w:rPr>
            <w:t>e</w:t>
          </w:r>
          <w:r>
            <w:rPr>
              <w:rStyle w:val="Cmsy10xx1441"/>
              <w:sz w:val="20"/>
              <w:szCs w:val="20"/>
            </w:rPr>
            <w:t xml:space="preserve">′ </w:t>
          </w:r>
          <w:r>
            <w:rPr>
              <w:szCs w:val="20"/>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Cs w:val="20"/>
            </w:rPr>
            <w:t>.</w:t>
          </w:r>
        </w:p>
        <w:p>
          <w:pPr>
            <w:pStyle w:val="BodyPaperText"/>
            <w:rPr>
              <w:szCs w:val="20"/>
            </w:rPr>
          </w:pPr>
          <w:r>
            <w:rPr>
              <w:szCs w:val="20"/>
            </w:rPr>
          </w:r>
        </w:p>
        <w:p>
          <w:pPr>
            <w:pStyle w:val="BodyPaperText"/>
            <w:rPr/>
          </w:pPr>
          <w:r>
            <w:rPr>
              <w:szCs w:val="20"/>
            </w:rPr>
            <w:t xml:space="preserve">Опишем множество частей речи русского языка </w:t>
          </w:r>
          <w:r>
            <w:rPr>
              <w:rStyle w:val="Cmmi12xx1201"/>
              <w:sz w:val="20"/>
              <w:szCs w:val="20"/>
            </w:rPr>
            <w:t>Pos</w:t>
          </w:r>
          <w:r>
            <w:rPr>
              <w:szCs w:val="20"/>
            </w:rPr>
            <w:t>. Элементами данного множества являются:</w:t>
          </w:r>
        </w:p>
        <w:p>
          <w:pPr>
            <w:pStyle w:val="BodyPaperText"/>
            <w:rPr/>
          </w:pPr>
          <w:r>
            <w:rPr>
              <w:rStyle w:val="Cmmi12xx1201"/>
              <w:sz w:val="20"/>
              <w:szCs w:val="20"/>
            </w:rPr>
            <w:t xml:space="preserve">Pos </w:t>
          </w:r>
          <w:r>
            <w:rPr>
              <w:rStyle w:val="Cmr12xx1201"/>
              <w:sz w:val="20"/>
              <w:szCs w:val="20"/>
            </w:rPr>
            <w:t>= (</w:t>
          </w:r>
          <w:r>
            <w:rPr>
              <w:szCs w:val="20"/>
            </w:rPr>
            <w:t>’Существительное’, ’Местоимение’, ’Прилагательное’, ’Предлог’, ’Частица’, ’Союз’, ’Наречие’, ’Числительное’, ’Причастие’, ’Деепричастие’, ’Глагол’</w:t>
          </w:r>
          <w:r>
            <w:rPr>
              <w:rStyle w:val="Cmr12xx1201"/>
              <w:sz w:val="20"/>
              <w:szCs w:val="20"/>
            </w:rPr>
            <w:t>)</w:t>
          </w:r>
          <w:r>
            <w:rPr>
              <w:szCs w:val="20"/>
            </w:rPr>
            <w:t xml:space="preserve">. </w:t>
          </w:r>
        </w:p>
        <w:p>
          <w:pPr>
            <w:pStyle w:val="BodyPaperText"/>
            <w:rPr/>
          </w:pPr>
          <w:r>
            <w:rPr>
              <w:szCs w:val="20"/>
            </w:rPr>
            <w:t xml:space="preserve">Каждая часть речи характеризуется особой системой </w:t>
          </w:r>
          <w:r>
            <w:rPr/>
            <w:t xml:space="preserve">грамматических категорий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t>. Таким образом, в зависимости от части речи</w:t>
          </w:r>
          <w:r>
            <w:rPr>
              <w:szCs w:val="20"/>
            </w:rPr>
            <w:t xml:space="preserve"> словоформа </w:t>
          </w:r>
          <w:r>
            <w:rPr>
              <w:i/>
            </w:rPr>
            <w:t>wf</w:t>
          </w:r>
          <w:r>
            <w:rPr>
              <w:i/>
              <w:vertAlign w:val="subscript"/>
            </w:rPr>
            <w:t>e'</w:t>
          </w:r>
          <w:r>
            <w:rPr>
              <w:szCs w:val="20"/>
            </w:rPr>
            <w:t xml:space="preserve"> может быть описана по-разному. Пусть дано множество </w:t>
          </w:r>
          <w:r>
            <w:rPr>
              <w:i/>
              <w:szCs w:val="20"/>
            </w:rPr>
            <w:t>Pos</w:t>
          </w:r>
          <w:r>
            <w:rPr>
              <w:i/>
              <w:szCs w:val="20"/>
              <w:vertAlign w:val="superscript"/>
            </w:rPr>
            <w:t>'</w:t>
          </w:r>
          <w:r>
            <w:rPr>
              <w:szCs w:val="20"/>
            </w:rPr>
            <w:t xml:space="preserve">, </w:t>
          </w:r>
          <w:r>
            <w:rPr>
              <w:rStyle w:val="Cmmi12xx1201"/>
              <w:sz w:val="20"/>
              <w:szCs w:val="20"/>
              <w:lang w:val="en-US"/>
            </w:rPr>
            <w:t>Pos</w:t>
          </w:r>
          <w:r>
            <w:rPr>
              <w:rStyle w:val="Cmsy10"/>
              <w:szCs w:val="20"/>
              <w:vertAlign w:val="superscript"/>
            </w:rPr>
            <w:t>′</w:t>
          </w:r>
          <w:r>
            <w:rPr>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Pos</w:t>
          </w:r>
          <w:r>
            <w:rPr>
              <w:rStyle w:val="Cmsy10xx1441"/>
              <w:sz w:val="20"/>
              <w:szCs w:val="20"/>
            </w:rPr>
            <w:t>,</w:t>
          </w:r>
          <w:r>
            <w:rPr>
              <w:rStyle w:val="Cmsy10xx1441"/>
              <w:i/>
              <w:sz w:val="20"/>
              <w:szCs w:val="20"/>
            </w:rPr>
            <w:t xml:space="preserve"> </w:t>
          </w:r>
          <w:r>
            <w:rPr>
              <w:szCs w:val="20"/>
            </w:rPr>
            <w:t xml:space="preserve"> элементами которого являются </w:t>
          </w:r>
          <w:r>
            <w:rPr/>
            <w:t>именные части речи, а также причастие.</w:t>
          </w:r>
        </w:p>
        <w:p>
          <w:pPr>
            <w:pStyle w:val="BodyPaperText"/>
            <w:rPr>
              <w:szCs w:val="20"/>
            </w:rPr>
          </w:pPr>
          <w:r>
            <w:rPr>
              <w:szCs w:val="20"/>
            </w:rPr>
          </w:r>
        </w:p>
        <w:p>
          <w:pPr>
            <w:pStyle w:val="BodyPaperText"/>
            <w:rPr/>
          </w:pPr>
          <w:r>
            <w:rPr>
              <w:rStyle w:val="Cmmi12xx1201"/>
              <w:sz w:val="20"/>
              <w:szCs w:val="20"/>
            </w:rPr>
            <w:t>Pos</w:t>
          </w:r>
          <w:r>
            <w:rPr>
              <w:rStyle w:val="Cmsy10"/>
              <w:szCs w:val="20"/>
              <w:vertAlign w:val="superscript"/>
            </w:rPr>
            <w:t>′</w:t>
          </w:r>
          <w:r>
            <w:rPr>
              <w:rStyle w:val="Cmmi12xx1201"/>
              <w:sz w:val="20"/>
              <w:szCs w:val="20"/>
            </w:rPr>
            <w:t> </w:t>
          </w:r>
          <w:r>
            <w:rPr>
              <w:rStyle w:val="Cmr12xx1201"/>
              <w:sz w:val="20"/>
              <w:szCs w:val="20"/>
            </w:rPr>
            <w:t>=</w:t>
          </w:r>
          <w:r>
            <w:rPr>
              <w:rStyle w:val="Cmmi12xx1201"/>
              <w:sz w:val="20"/>
              <w:szCs w:val="20"/>
            </w:rPr>
            <w:t> </w:t>
          </w:r>
          <w:r>
            <w:rPr>
              <w:rStyle w:val="Cmr12xx1201"/>
              <w:sz w:val="20"/>
              <w:szCs w:val="20"/>
            </w:rPr>
            <w:t>(</w:t>
          </w:r>
          <w:r>
            <w:rPr>
              <w:szCs w:val="20"/>
            </w:rPr>
            <w:t>’Существительное’, ’Местоимение’, ’Прилагательное’, ’Причастие’,  ’Числительное’</w:t>
          </w:r>
          <w:r>
            <w:rPr>
              <w:rStyle w:val="Cmr12xx1201"/>
              <w:sz w:val="20"/>
              <w:szCs w:val="20"/>
            </w:rPr>
            <w:t>)</w:t>
          </w:r>
          <w:r>
            <w:rPr>
              <w:rStyle w:val="Cmmi12xx1201"/>
              <w:sz w:val="20"/>
              <w:szCs w:val="20"/>
            </w:rPr>
            <w:t>.</w:t>
          </w:r>
        </w:p>
        <w:p>
          <w:pPr>
            <w:pStyle w:val="BodyPaperText"/>
            <w:rPr>
              <w:szCs w:val="20"/>
            </w:rPr>
          </w:pPr>
          <w:r>
            <w:rPr>
              <w:szCs w:val="20"/>
            </w:rPr>
          </w:r>
        </w:p>
        <w:p>
          <w:pPr>
            <w:pStyle w:val="BodyPaperText"/>
            <w:rPr/>
          </w:pPr>
          <w:r>
            <w:rPr>
              <w:szCs w:val="20"/>
            </w:rPr>
            <w:t>Для именных частей речи, а также для такой отглагольной части речи, как причастие, словоформа может быть описана следующим образом (см. ф. 1.7).</w:t>
          </w:r>
        </w:p>
        <w:p>
          <w:pPr>
            <w:pStyle w:val="BodyPaperText"/>
            <w:tabs>
              <w:tab w:val="clear" w:pos="468"/>
              <w:tab w:val="left" w:pos="1418" w:leader="none"/>
            </w:tabs>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468"/>
              <w:tab w:val="left" w:pos="1985" w:leader="none"/>
              <w:tab w:val="left" w:pos="5954" w:leader="none"/>
            </w:tabs>
            <w:spacing w:before="120" w:after="120"/>
            <w:ind w:hanging="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Cs w:val="20"/>
            </w:rPr>
            <w:t>,</w:t>
            <w:tab/>
            <w:t>(1.7)</w:t>
          </w:r>
        </w:p>
        <w:p>
          <w:pPr>
            <w:pStyle w:val="BodyPaperText"/>
            <w:ind w:left="720" w:hanging="436"/>
            <w:rPr/>
          </w:pPr>
          <w:r>
            <w:rPr>
              <w:szCs w:val="20"/>
            </w:rPr>
            <w:t xml:space="preserve">где </w:t>
          </w:r>
          <w:r>
            <w:rPr>
              <w:rStyle w:val="Cmmi12xx1201"/>
              <w:sz w:val="20"/>
              <w:szCs w:val="20"/>
              <w:lang w:val="en-US"/>
            </w:rPr>
            <w:t>w</w:t>
          </w:r>
          <w:r>
            <w:rPr>
              <w:rStyle w:val="Cmmi12xx1201"/>
              <w:sz w:val="20"/>
              <w:szCs w:val="20"/>
            </w:rPr>
            <w:t xml:space="preserve"> </w:t>
          </w:r>
          <w:r>
            <w:rPr>
              <w:szCs w:val="20"/>
            </w:rPr>
            <w:t xml:space="preserve">- слово, </w:t>
          </w:r>
          <w:r>
            <w:rPr>
              <w:rStyle w:val="Cmmi12xx1201"/>
              <w:sz w:val="20"/>
              <w:szCs w:val="20"/>
              <w:lang w:val="en-US"/>
            </w:rPr>
            <w:t>w</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W</w:t>
          </w:r>
          <w:r>
            <w:rPr>
              <w:szCs w:val="20"/>
            </w:rPr>
            <w:t xml:space="preserve">, </w:t>
          </w:r>
        </w:p>
        <w:p>
          <w:pPr>
            <w:pStyle w:val="BodyPaperText"/>
            <w:rPr/>
          </w:pPr>
          <w:r>
            <w:rPr>
              <w:rStyle w:val="Cmmi12xx1201"/>
              <w:sz w:val="20"/>
              <w:szCs w:val="20"/>
              <w:lang w:val="en-US"/>
            </w:rPr>
            <w:t xml:space="preserve">case </w:t>
          </w:r>
          <w:r>
            <w:rPr>
              <w:szCs w:val="20"/>
              <w:lang w:val="en-US"/>
            </w:rPr>
            <w:t xml:space="preserve">- </w:t>
          </w:r>
          <w:r>
            <w:rPr>
              <w:szCs w:val="20"/>
            </w:rPr>
            <w:t>падеж</w:t>
          </w:r>
          <w:r>
            <w:rPr>
              <w:szCs w:val="20"/>
              <w:lang w:val="en-US"/>
            </w:rPr>
            <w:t xml:space="preserve">, </w:t>
          </w:r>
          <w:r>
            <w:rPr>
              <w:rStyle w:val="Cmmi12xx1201"/>
              <w:sz w:val="20"/>
              <w:szCs w:val="20"/>
              <w:lang w:val="en-US"/>
            </w:rPr>
            <w:t xml:space="preserve">case </w:t>
          </w:r>
          <w:r>
            <w:rPr>
              <w:rStyle w:val="Cmsy10xx1441"/>
              <w:rFonts w:ascii="Cambria Math" w:hAnsi="Cambria Math"/>
              <w:sz w:val="20"/>
              <w:szCs w:val="20"/>
              <w:lang w:val="en-US"/>
            </w:rPr>
            <w:t>∈</w:t>
          </w:r>
          <w:r>
            <w:rPr>
              <w:rStyle w:val="Cmsy10xx1441"/>
              <w:sz w:val="20"/>
              <w:szCs w:val="20"/>
              <w:lang w:val="en-US"/>
            </w:rPr>
            <w:t xml:space="preserve"> </w:t>
          </w:r>
          <w:r>
            <w:rPr>
              <w:rStyle w:val="Cmmi12xx1201"/>
              <w:sz w:val="20"/>
              <w:szCs w:val="20"/>
              <w:lang w:val="en-US"/>
            </w:rPr>
            <w:t>Case</w:t>
          </w:r>
          <w:r>
            <w:rPr>
              <w:szCs w:val="20"/>
              <w:lang w:val="en-US"/>
            </w:rPr>
            <w:t xml:space="preserve">, </w:t>
          </w:r>
        </w:p>
        <w:p>
          <w:pPr>
            <w:pStyle w:val="BodyPaperText"/>
            <w:rPr/>
          </w:pPr>
          <w:r>
            <w:rPr>
              <w:rStyle w:val="Cmmi12xx1201"/>
              <w:sz w:val="20"/>
              <w:szCs w:val="20"/>
              <w:lang w:val="en-US"/>
            </w:rPr>
            <w:t xml:space="preserve">n </w:t>
          </w:r>
          <w:r>
            <w:rPr>
              <w:szCs w:val="20"/>
              <w:lang w:val="en-US"/>
            </w:rPr>
            <w:t xml:space="preserve">- </w:t>
          </w:r>
          <w:r>
            <w:rPr>
              <w:szCs w:val="20"/>
            </w:rPr>
            <w:t>число</w:t>
          </w:r>
          <w:r>
            <w:rPr>
              <w:szCs w:val="20"/>
              <w:lang w:val="en-US"/>
            </w:rPr>
            <w:t xml:space="preserve">, </w:t>
          </w:r>
          <w:r>
            <w:rPr>
              <w:rStyle w:val="Cmmi12xx1201"/>
              <w:sz w:val="20"/>
              <w:szCs w:val="20"/>
              <w:lang w:val="en-US"/>
            </w:rPr>
            <w:t xml:space="preserve">n </w:t>
          </w:r>
          <w:r>
            <w:rPr>
              <w:rStyle w:val="Cmsy10xx1441"/>
              <w:rFonts w:ascii="Cambria Math" w:hAnsi="Cambria Math"/>
              <w:sz w:val="20"/>
              <w:szCs w:val="20"/>
              <w:lang w:val="en-US"/>
            </w:rPr>
            <w:t>∈</w:t>
          </w:r>
          <w:r>
            <w:rPr>
              <w:rStyle w:val="Cmsy10xx1441"/>
              <w:sz w:val="20"/>
              <w:szCs w:val="20"/>
              <w:lang w:val="en-US"/>
            </w:rPr>
            <w:t xml:space="preserve"> </w:t>
          </w:r>
          <w:r>
            <w:rPr>
              <w:rStyle w:val="Cmmi12xx1201"/>
              <w:sz w:val="20"/>
              <w:szCs w:val="20"/>
              <w:lang w:val="en-US"/>
            </w:rPr>
            <w:t>N</w:t>
          </w:r>
          <w:r>
            <w:rPr>
              <w:szCs w:val="20"/>
              <w:lang w:val="en-US"/>
            </w:rPr>
            <w:t xml:space="preserve"> </w:t>
          </w:r>
        </w:p>
        <w:p>
          <w:pPr>
            <w:pStyle w:val="BodyPaperText"/>
            <w:rPr/>
          </w:pPr>
          <w:r>
            <w:rPr>
              <w:i/>
              <w:szCs w:val="20"/>
            </w:rPr>
            <w:t>g</w:t>
          </w:r>
          <w:r>
            <w:rPr>
              <w:szCs w:val="20"/>
            </w:rPr>
            <w:t xml:space="preserve"> – род, </w:t>
          </w:r>
          <w:r>
            <w:rPr>
              <w:rStyle w:val="Cmmi12xx1201"/>
              <w:sz w:val="20"/>
              <w:szCs w:val="20"/>
              <w:lang w:val="en-US"/>
            </w:rPr>
            <w:t>g</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sz w:val="20"/>
              <w:szCs w:val="20"/>
              <w:lang w:val="en-US"/>
            </w:rPr>
            <w:t>G</w:t>
          </w:r>
          <w:r>
            <w:rPr>
              <w:szCs w:val="20"/>
            </w:rPr>
            <w:t xml:space="preserve"> </w:t>
          </w:r>
        </w:p>
        <w:p>
          <w:pPr>
            <w:pStyle w:val="BodyPaperText"/>
            <w:rPr/>
          </w:pPr>
          <w:r>
            <w:rPr>
              <w:rStyle w:val="Cmmi12xx1201"/>
              <w:sz w:val="20"/>
              <w:szCs w:val="20"/>
            </w:rPr>
            <w:t xml:space="preserve">Case </w:t>
          </w:r>
          <w:r>
            <w:rPr>
              <w:rStyle w:val="Cmr12xx1201"/>
              <w:sz w:val="20"/>
              <w:szCs w:val="20"/>
            </w:rPr>
            <w:t xml:space="preserve">= </w:t>
          </w:r>
          <w:r>
            <w:rPr>
              <w:szCs w:val="20"/>
            </w:rPr>
            <w:t>(’именительный’, ’родительный’, ’дательный’, ’винительный’, ’творительный’, ’предложный’</w:t>
          </w:r>
          <w:r>
            <w:rPr>
              <w:rStyle w:val="Cmr12xx1201"/>
              <w:sz w:val="20"/>
              <w:szCs w:val="20"/>
            </w:rPr>
            <w:t>)</w:t>
          </w:r>
        </w:p>
        <w:p>
          <w:pPr>
            <w:pStyle w:val="BodyPaperText"/>
            <w:rPr/>
          </w:pPr>
          <w:r>
            <w:rPr>
              <w:rStyle w:val="Cmmi12xx1201"/>
              <w:sz w:val="20"/>
              <w:szCs w:val="20"/>
            </w:rPr>
            <w:t xml:space="preserve">N </w:t>
          </w:r>
          <w:r>
            <w:rPr>
              <w:rStyle w:val="Cmr12xx1201"/>
              <w:sz w:val="20"/>
              <w:szCs w:val="20"/>
            </w:rPr>
            <w:t>= (</w:t>
          </w:r>
          <w:r>
            <w:rPr>
              <w:szCs w:val="20"/>
            </w:rPr>
            <w:t>’единственное’, ’множественное’</w:t>
          </w:r>
          <w:r>
            <w:rPr>
              <w:rStyle w:val="Cmr12xx1201"/>
              <w:sz w:val="20"/>
              <w:szCs w:val="20"/>
            </w:rPr>
            <w:t>)</w:t>
          </w:r>
          <w:r>
            <w:rPr>
              <w:szCs w:val="20"/>
            </w:rPr>
            <w:t xml:space="preserve"> </w:t>
          </w:r>
        </w:p>
        <w:p>
          <w:pPr>
            <w:pStyle w:val="BodyPaperText"/>
            <w:rPr/>
          </w:pPr>
          <w:r>
            <w:rPr>
              <w:szCs w:val="20"/>
            </w:rPr>
            <w:t>G = (‘мужской’, ’средний’, ’женский’)</w:t>
          </w:r>
        </w:p>
        <w:p>
          <w:pPr>
            <w:pStyle w:val="BodyPaperText"/>
            <w:rPr>
              <w:szCs w:val="20"/>
            </w:rPr>
          </w:pPr>
          <w:r>
            <w:rPr>
              <w:szCs w:val="20"/>
            </w:rPr>
          </w:r>
        </w:p>
        <w:p>
          <w:pPr>
            <w:pStyle w:val="BodyPaperText"/>
            <w:rPr/>
          </w:pPr>
          <w:r>
            <w:rPr>
              <w:szCs w:val="20"/>
            </w:rPr>
            <w:t>Глагольная словоформа может быть описана следующим образом (см. ф. 1.8).</w:t>
          </w:r>
        </w:p>
        <w:p>
          <w:pPr>
            <w:pStyle w:val="BodyPaperText"/>
            <w:tabs>
              <w:tab w:val="clear" w:pos="468"/>
              <w:tab w:val="left" w:pos="1843" w:leader="none"/>
            </w:tabs>
            <w:spacing w:before="120" w:after="0"/>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Cs w:val="20"/>
            </w:rPr>
            <w:t>,</w:t>
          </w:r>
        </w:p>
        <w:p>
          <w:pPr>
            <w:pStyle w:val="BodyPaperText"/>
            <w:tabs>
              <w:tab w:val="clear" w:pos="468"/>
              <w:tab w:val="left" w:pos="2268" w:leader="none"/>
              <w:tab w:val="left" w:pos="5954" w:leader="none"/>
            </w:tabs>
            <w:spacing w:before="0" w:after="120"/>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Cs w:val="20"/>
            </w:rPr>
            <w:t>,</w:t>
            <w:tab/>
            <w:t>(1.8)</w:t>
          </w:r>
        </w:p>
        <w:p>
          <w:pPr>
            <w:pStyle w:val="BodyPaperText"/>
            <w:rPr/>
          </w:pPr>
          <w:r>
            <w:rPr>
              <w:szCs w:val="20"/>
            </w:rPr>
            <w:t xml:space="preserve">где </w:t>
          </w:r>
          <w:r>
            <w:rPr>
              <w:szCs w:val="20"/>
              <w:lang w:val="en-US"/>
            </w:rPr>
            <w:t>w</w:t>
          </w:r>
          <w:r>
            <w:rPr>
              <w:szCs w:val="20"/>
            </w:rPr>
            <w:t xml:space="preserve"> – слово,</w:t>
          </w:r>
        </w:p>
        <w:p>
          <w:pPr>
            <w:pStyle w:val="BodyPaperText"/>
            <w:rPr/>
          </w:pPr>
          <w:r>
            <w:rPr>
              <w:i/>
              <w:szCs w:val="20"/>
            </w:rPr>
            <w:t xml:space="preserve">t – </w:t>
          </w:r>
          <w:r>
            <w:rPr>
              <w:szCs w:val="20"/>
            </w:rPr>
            <w:t xml:space="preserve">время, </w:t>
          </w:r>
          <w:r>
            <w:rPr>
              <w:rStyle w:val="Cmmi12xx1201"/>
              <w:sz w:val="20"/>
              <w:szCs w:val="20"/>
              <w:lang w:val="en-US"/>
            </w:rPr>
            <w:t>t</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mi12xx1201"/>
              <w:sz w:val="20"/>
              <w:szCs w:val="20"/>
              <w:lang w:val="en-US"/>
            </w:rPr>
            <w:t>T</w:t>
          </w:r>
        </w:p>
        <w:p>
          <w:pPr>
            <w:pStyle w:val="BodyPaperText"/>
            <w:rPr/>
          </w:pPr>
          <w:r>
            <w:rPr>
              <w:rStyle w:val="Cmmi12xx1201"/>
              <w:sz w:val="20"/>
              <w:szCs w:val="20"/>
            </w:rPr>
            <w:t xml:space="preserve">n </w:t>
          </w:r>
          <w:r>
            <w:rPr>
              <w:szCs w:val="20"/>
            </w:rPr>
            <w:t xml:space="preserve">- число, </w:t>
          </w:r>
          <w:r>
            <w:rPr>
              <w:rStyle w:val="Cmmi12xx1201"/>
              <w:sz w:val="20"/>
              <w:szCs w:val="20"/>
            </w:rPr>
            <w:t xml:space="preserve">n </w:t>
          </w:r>
          <w:r>
            <w:rPr>
              <w:rStyle w:val="Cmsy10xx1441"/>
              <w:rFonts w:ascii="Cambria Math" w:hAnsi="Cambria Math"/>
              <w:sz w:val="20"/>
              <w:szCs w:val="20"/>
            </w:rPr>
            <w:t>∈</w:t>
          </w:r>
          <w:r>
            <w:rPr>
              <w:rStyle w:val="Cmsy10xx1441"/>
              <w:sz w:val="20"/>
              <w:szCs w:val="20"/>
            </w:rPr>
            <w:t xml:space="preserve"> </w:t>
          </w:r>
          <w:r>
            <w:rPr>
              <w:rStyle w:val="Cmmi12xx1201"/>
              <w:sz w:val="20"/>
              <w:szCs w:val="20"/>
            </w:rPr>
            <w:t>N</w:t>
          </w:r>
          <w:r>
            <w:rPr>
              <w:szCs w:val="20"/>
            </w:rPr>
            <w:t xml:space="preserve"> </w:t>
          </w:r>
        </w:p>
        <w:p>
          <w:pPr>
            <w:pStyle w:val="BodyPaperText"/>
            <w:rPr/>
          </w:pPr>
          <w:r>
            <w:rPr>
              <w:i/>
              <w:szCs w:val="20"/>
              <w:lang w:val="en-US"/>
            </w:rPr>
            <w:t>p</w:t>
          </w:r>
          <w:r>
            <w:rPr>
              <w:szCs w:val="20"/>
            </w:rPr>
            <w:t xml:space="preserve"> – лицо, </w:t>
          </w:r>
          <w:r>
            <w:rPr>
              <w:rStyle w:val="Cmmi12xx1201"/>
              <w:sz w:val="20"/>
              <w:szCs w:val="20"/>
              <w:lang w:val="en-US"/>
            </w:rPr>
            <w:t>p</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P</w:t>
          </w:r>
        </w:p>
        <w:p>
          <w:pPr>
            <w:pStyle w:val="BodyPaperText"/>
            <w:rPr/>
          </w:pPr>
          <w:r>
            <w:rPr>
              <w:szCs w:val="20"/>
              <w:lang w:val="en-US"/>
            </w:rPr>
            <w:t>T</w:t>
          </w:r>
          <w:r>
            <w:rPr>
              <w:szCs w:val="20"/>
            </w:rPr>
            <w:t xml:space="preserve"> = {</w:t>
          </w:r>
          <w:r>
            <w:rPr/>
            <w:t>‘</w:t>
          </w:r>
          <w:r>
            <w:rPr>
              <w:szCs w:val="20"/>
            </w:rPr>
            <w:t>прошедшее’, ‘настоящее’, ‘будущее’}</w:t>
          </w:r>
        </w:p>
        <w:p>
          <w:pPr>
            <w:pStyle w:val="BodyPaperText"/>
            <w:rPr/>
          </w:pPr>
          <w:r>
            <w:rPr>
              <w:szCs w:val="20"/>
              <w:lang w:val="en-US"/>
            </w:rPr>
            <w:t>P</w:t>
          </w:r>
          <w:r>
            <w:rPr>
              <w:szCs w:val="20"/>
            </w:rPr>
            <w:t xml:space="preserve"> = {‘первое’, ‘второе’, ‘третье’}</w:t>
          </w:r>
        </w:p>
        <w:p>
          <w:pPr>
            <w:pStyle w:val="BodyPaperText"/>
            <w:rPr>
              <w:szCs w:val="20"/>
            </w:rPr>
          </w:pPr>
          <w:r>
            <w:rPr>
              <w:szCs w:val="20"/>
            </w:rPr>
          </w:r>
        </w:p>
        <w:p>
          <w:pPr>
            <w:pStyle w:val="BodyPaperText"/>
            <w:rPr/>
          </w:pPr>
          <w:r>
            <w:rPr>
              <w:szCs w:val="20"/>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Cs w:val="20"/>
            </w:rPr>
            <w:t>g</w:t>
          </w:r>
          <w:r>
            <w:rPr>
              <w:szCs w:val="20"/>
            </w:rPr>
            <w:t xml:space="preserve">, </w:t>
          </w:r>
          <w:r>
            <w:rPr>
              <w:rStyle w:val="Cmmi12xx1201"/>
              <w:sz w:val="20"/>
              <w:szCs w:val="20"/>
              <w:lang w:val="en-US"/>
            </w:rPr>
            <w:t>g</w:t>
          </w:r>
          <w:r>
            <w:rPr>
              <w:rStyle w:val="Cmmi12xx1201"/>
              <w:sz w:val="20"/>
              <w:szCs w:val="20"/>
            </w:rPr>
            <w:t xml:space="preserve"> </w:t>
          </w:r>
          <w:r>
            <w:rPr>
              <w:rStyle w:val="Cmsy10xx1441"/>
              <w:rFonts w:ascii="Cambria Math" w:hAnsi="Cambria Math"/>
              <w:sz w:val="20"/>
              <w:szCs w:val="20"/>
            </w:rPr>
            <w:t>∈</w:t>
          </w:r>
          <w:r>
            <w:rPr>
              <w:rStyle w:val="Cmsy10xx1441"/>
              <w:sz w:val="20"/>
              <w:szCs w:val="20"/>
            </w:rPr>
            <w:t xml:space="preserve"> </w:t>
          </w:r>
          <w:r>
            <w:rPr>
              <w:rStyle w:val="Cmsy10xx1441"/>
              <w:i/>
              <w:sz w:val="20"/>
              <w:szCs w:val="20"/>
              <w:lang w:val="en-US"/>
            </w:rPr>
            <w:t>G</w:t>
          </w:r>
          <w:r>
            <w:rPr>
              <w:szCs w:val="20"/>
            </w:rPr>
            <w:t xml:space="preserve"> (например, читал, читала). Таким образом, глагольные словоформы прошедшего времени могут быть описаны следующим образом (см. ф. 1.9).</w:t>
          </w:r>
        </w:p>
        <w:p>
          <w:pPr>
            <w:pStyle w:val="BodyPaperText"/>
            <w:tabs>
              <w:tab w:val="clear" w:pos="468"/>
              <w:tab w:val="left" w:pos="1276" w:leader="none"/>
            </w:tabs>
            <w:spacing w:before="120" w:after="0"/>
            <w:jc w:val="left"/>
            <w:rPr/>
          </w:pPr>
          <w:r>
            <w:rPr>
              <w:szCs w:val="20"/>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468"/>
              <w:tab w:val="left" w:pos="2127" w:leader="none"/>
              <w:tab w:val="left" w:pos="5954" w:leader="none"/>
            </w:tabs>
            <w:spacing w:before="0" w:after="120"/>
            <w:ind w:hanging="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Cs w:val="20"/>
            </w:rPr>
            <w:tab/>
            <w:t>(1.9)</w:t>
          </w:r>
        </w:p>
        <w:p>
          <w:pPr>
            <w:pStyle w:val="BodyPaperText"/>
            <w:rPr/>
          </w:pPr>
          <w:r>
            <w:rPr>
              <w:szCs w:val="20"/>
            </w:rPr>
            <w:t xml:space="preserve">В русском языке деепричастие, наречие, предлог, частица и союз являются неизменяемыми частями речи. Поэтому </w:t>
          </w:r>
          <w:r>
            <w:rPr/>
            <w:t xml:space="preserve">морфологической парадигмой </w:t>
          </w:r>
          <w:r>
            <w:rPr>
              <w:i/>
            </w:rPr>
            <w:t>Wf</w:t>
          </w:r>
          <w:r>
            <w:rPr/>
            <w:t xml:space="preserve"> слов, принадлежащих к данным частям речи, является само слово </w:t>
          </w:r>
          <w:r>
            <w:rPr>
              <w:i/>
            </w:rPr>
            <w:t>w</w:t>
          </w:r>
          <w:r>
            <w:rPr/>
            <w:t xml:space="preserve">. Таким образом, </w:t>
          </w:r>
          <w:r>
            <w:rPr>
              <w:i/>
            </w:rPr>
            <w:t xml:space="preserve">Wf = </w:t>
          </w:r>
          <w:r>
            <w:rPr/>
            <w:t>{</w:t>
          </w:r>
          <w:r>
            <w:rPr>
              <w:i/>
            </w:rPr>
            <w:t>w</w:t>
          </w:r>
          <w:r>
            <w:rPr/>
            <w:t>}.</w:t>
          </w:r>
        </w:p>
        <w:p>
          <w:pPr>
            <w:pStyle w:val="BodyPaperText"/>
            <w:rPr/>
          </w:pPr>
          <w:r>
            <w:rPr>
              <w:szCs w:val="20"/>
            </w:rPr>
            <w:t xml:space="preserve">У каждого слова </w:t>
          </w:r>
          <w:r>
            <w:rPr>
              <w:rStyle w:val="Cmmi12xx1201"/>
              <w:sz w:val="20"/>
              <w:szCs w:val="20"/>
            </w:rPr>
            <w:t xml:space="preserve">w </w:t>
          </w:r>
          <w:r>
            <w:rPr>
              <w:szCs w:val="20"/>
            </w:rPr>
            <w:t xml:space="preserve">имеется лемма </w:t>
          </w:r>
          <w:r>
            <w:rPr>
              <w:rStyle w:val="Cmmi12xx1201"/>
              <w:sz w:val="20"/>
              <w:szCs w:val="20"/>
            </w:rPr>
            <w:t>wf</w:t>
          </w:r>
          <w:r>
            <w:rPr>
              <w:rStyle w:val="Cmmi101"/>
              <w:szCs w:val="20"/>
              <w:vertAlign w:val="subscript"/>
            </w:rPr>
            <w:t>nf</w:t>
          </w:r>
          <w:r>
            <w:rPr>
              <w:szCs w:val="20"/>
            </w:rPr>
            <w:t xml:space="preserve">. Лемма - это исходная, базовая или нормальная форма слова, зафиксированная в словаре </w:t>
          </w:r>
          <w:r>
            <w:rPr>
              <w:b/>
              <w:sz w:val="18"/>
              <w:szCs w:val="18"/>
            </w:rPr>
            <w:fldChar w:fldCharType="begin"/>
          </w:r>
          <w:r>
            <w:rPr>
              <w:sz w:val="18"/>
              <w:b/>
              <w:szCs w:val="18"/>
            </w:rPr>
            <w:instrText> REF %D0%BA%D0%BE%D1%80%D0%BF_%D0%BB%D0%B8%D0 \h </w:instrText>
          </w:r>
          <w:r>
            <w:rPr>
              <w:sz w:val="18"/>
              <w:b/>
              <w:szCs w:val="18"/>
            </w:rPr>
            <w:fldChar w:fldCharType="separate"/>
          </w:r>
          <w:r>
            <w:rPr>
              <w:sz w:val="18"/>
              <w:b/>
              <w:szCs w:val="18"/>
            </w:rPr>
            <w:t>Error: Reference source not found</w:t>
          </w:r>
          <w:r>
            <w:rPr>
              <w:sz w:val="18"/>
              <w:b/>
              <w:szCs w:val="18"/>
            </w:rPr>
            <w:fldChar w:fldCharType="end"/>
          </w:r>
          <w:r>
            <w:rPr>
              <w:szCs w:val="20"/>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0"/>
              <w:szCs w:val="20"/>
            </w:rPr>
            <w:t>w</w:t>
          </w:r>
          <w:r>
            <w:rPr>
              <w:szCs w:val="20"/>
            </w:rPr>
            <w:t>. Таким образом,</w:t>
          </w:r>
        </w:p>
        <w:p>
          <w:pPr>
            <w:pStyle w:val="BodyPaperText"/>
            <w:tabs>
              <w:tab w:val="clear" w:pos="468"/>
              <w:tab w:val="left" w:pos="1701" w:leader="none"/>
              <w:tab w:val="left" w:pos="5812" w:leader="none"/>
            </w:tabs>
            <w:spacing w:before="120" w:after="120"/>
            <w:jc w:val="left"/>
            <w:rPr/>
          </w:pPr>
          <w:r>
            <w:rPr>
              <w:szCs w:val="20"/>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t>,</w:t>
            <w:tab/>
            <w:t>(1.10)</w:t>
          </w:r>
        </w:p>
        <w:p>
          <w:pPr>
            <w:pStyle w:val="BodyPaperText"/>
            <w:rPr/>
          </w:pPr>
          <w:r>
            <w:rPr>
              <w:szCs w:val="20"/>
            </w:rPr>
            <w:t xml:space="preserve">где </w:t>
          </w:r>
          <w:r>
            <w:rPr>
              <w:rStyle w:val="Cmmi12xx1201"/>
              <w:sz w:val="20"/>
              <w:szCs w:val="20"/>
            </w:rPr>
            <w:t>case</w:t>
          </w:r>
          <w:r>
            <w:rPr>
              <w:rStyle w:val="Cmsy10"/>
              <w:szCs w:val="20"/>
              <w:vertAlign w:val="superscript"/>
            </w:rPr>
            <w:t>′</w:t>
          </w:r>
          <w:r>
            <w:rPr>
              <w:szCs w:val="20"/>
            </w:rPr>
            <w:t xml:space="preserve"> </w:t>
          </w:r>
          <w:r>
            <w:rPr>
              <w:rStyle w:val="Cmr12xx1201"/>
              <w:sz w:val="20"/>
              <w:szCs w:val="20"/>
            </w:rPr>
            <w:t xml:space="preserve">= </w:t>
          </w:r>
          <w:r>
            <w:rPr>
              <w:rStyle w:val="Cmsy10xx1441"/>
              <w:sz w:val="20"/>
              <w:szCs w:val="20"/>
            </w:rPr>
            <w:t>′</w:t>
          </w:r>
          <w:r>
            <w:rPr>
              <w:szCs w:val="20"/>
            </w:rPr>
            <w:t>именительный</w:t>
          </w:r>
          <w:r>
            <w:rPr>
              <w:rStyle w:val="Cmsy10xx1441"/>
              <w:sz w:val="20"/>
              <w:szCs w:val="20"/>
            </w:rPr>
            <w:t>′</w:t>
          </w:r>
          <w:r>
            <w:rPr>
              <w:rStyle w:val="Cmmi12xx1201"/>
              <w:sz w:val="20"/>
              <w:szCs w:val="20"/>
            </w:rPr>
            <w:t xml:space="preserve">, </w:t>
          </w:r>
        </w:p>
        <w:p>
          <w:pPr>
            <w:pStyle w:val="BodyPaperText"/>
            <w:rPr/>
          </w:pPr>
          <w:r>
            <w:rPr>
              <w:rStyle w:val="Cmmi12xx1201"/>
              <w:sz w:val="20"/>
              <w:szCs w:val="20"/>
            </w:rPr>
            <w:t>n</w:t>
          </w:r>
          <w:r>
            <w:rPr>
              <w:rStyle w:val="Cmsy10"/>
              <w:szCs w:val="20"/>
              <w:vertAlign w:val="superscript"/>
            </w:rPr>
            <w:t>′</w:t>
          </w:r>
          <w:r>
            <w:rPr>
              <w:szCs w:val="20"/>
            </w:rPr>
            <w:t xml:space="preserve"> </w:t>
          </w:r>
          <w:r>
            <w:rPr>
              <w:rStyle w:val="Cmr12xx1201"/>
              <w:sz w:val="20"/>
              <w:szCs w:val="20"/>
            </w:rPr>
            <w:t xml:space="preserve">= </w:t>
          </w:r>
          <w:r>
            <w:rPr>
              <w:rStyle w:val="Cmsy10xx1441"/>
              <w:sz w:val="20"/>
              <w:szCs w:val="20"/>
            </w:rPr>
            <w:t>′</w:t>
          </w:r>
          <w:r>
            <w:rPr>
              <w:szCs w:val="20"/>
            </w:rPr>
            <w:t>единственное</w:t>
          </w:r>
          <w:r>
            <w:rPr>
              <w:rStyle w:val="Cmsy10xx1441"/>
              <w:sz w:val="20"/>
              <w:szCs w:val="20"/>
            </w:rPr>
            <w:t>′</w:t>
          </w:r>
        </w:p>
        <w:p>
          <w:pPr>
            <w:pStyle w:val="BodyPaperText"/>
            <w:rPr/>
          </w:pPr>
          <w:r>
            <w:rPr>
              <w:szCs w:val="20"/>
            </w:rPr>
            <w:t>Нормальной формой глагола является инфинитив. В</w:t>
          </w:r>
          <w:r>
            <w:rPr/>
            <w:t xml:space="preserve"> инфинитиве морфологически не выражены такие категории глагола, как время, лицо и число </w:t>
          </w:r>
          <w:r>
            <w:rPr>
              <w:sz w:val="18"/>
              <w:szCs w:val="18"/>
            </w:rPr>
            <w:fldChar w:fldCharType="begin"/>
          </w:r>
          <w:r>
            <w:rPr>
              <w:sz w:val="18"/>
              <w:szCs w:val="18"/>
            </w:rPr>
            <w:instrText> REF %D1%81%D0%BB%D0%BE%D0%B2%D0%B0%D1%80%D1% \h </w:instrText>
          </w:r>
          <w:r>
            <w:rPr>
              <w:sz w:val="18"/>
              <w:szCs w:val="18"/>
            </w:rPr>
            <w:fldChar w:fldCharType="separate"/>
          </w:r>
          <w:r>
            <w:rPr>
              <w:sz w:val="18"/>
              <w:szCs w:val="18"/>
            </w:rPr>
            <w:t>Error: Reference source not found</w:t>
          </w:r>
          <w:r>
            <w:rPr>
              <w:sz w:val="18"/>
              <w:szCs w:val="18"/>
            </w:rPr>
            <w:fldChar w:fldCharType="end"/>
          </w:r>
          <w:r>
            <w:rPr/>
            <w:t>.</w:t>
          </w:r>
        </w:p>
        <w:p>
          <w:pPr>
            <w:pStyle w:val="BodyPaperText"/>
            <w:rPr/>
          </w:pPr>
          <w:r>
            <w:rPr>
              <w:szCs w:val="20"/>
            </w:rPr>
            <w:t xml:space="preserve">Перейдем к описанию использованных функций. Обозначим </w:t>
          </w:r>
          <w:r>
            <w:rPr>
              <w:rStyle w:val="Cmmi12xx1201"/>
              <w:sz w:val="20"/>
              <w:szCs w:val="20"/>
            </w:rPr>
            <w:t xml:space="preserve">DPos </w:t>
          </w:r>
          <w:r>
            <w:rPr>
              <w:szCs w:val="20"/>
            </w:rPr>
            <w:t xml:space="preserve">функцией определения части речи слова (см. ф. 1.10), </w:t>
          </w:r>
          <w:r>
            <w:rPr>
              <w:i/>
              <w:szCs w:val="20"/>
            </w:rPr>
            <w:t>DNF</w:t>
          </w:r>
          <w:r>
            <w:rPr>
              <w:szCs w:val="20"/>
            </w:rPr>
            <w:t xml:space="preserve"> - функцией нормализации слова (см. ф. 1.11). Нормализация слова или лемматизация - это процесс приведения слова к лемме или начальной форме </w:t>
          </w:r>
          <w:r>
            <w:rPr>
              <w:b/>
              <w:sz w:val="18"/>
              <w:szCs w:val="18"/>
            </w:rPr>
            <w:fldChar w:fldCharType="begin"/>
          </w:r>
          <w:r>
            <w:rPr>
              <w:sz w:val="18"/>
              <w:b/>
              <w:szCs w:val="18"/>
            </w:rPr>
            <w:instrText> REF %D0%BA%D0%BE%D1%80%D0%BF_%D0%BB%D0%B8%D0 \h </w:instrText>
          </w:r>
          <w:r>
            <w:rPr>
              <w:sz w:val="18"/>
              <w:b/>
              <w:szCs w:val="18"/>
            </w:rPr>
            <w:fldChar w:fldCharType="separate"/>
          </w:r>
          <w:r>
            <w:rPr>
              <w:sz w:val="18"/>
              <w:b/>
              <w:szCs w:val="18"/>
            </w:rPr>
            <w:t>Error: Reference source not found</w:t>
          </w:r>
          <w:r>
            <w:rPr>
              <w:sz w:val="18"/>
              <w:b/>
              <w:szCs w:val="18"/>
            </w:rPr>
            <w:fldChar w:fldCharType="end"/>
          </w:r>
          <w:r>
            <w:rPr>
              <w:szCs w:val="20"/>
            </w:rPr>
            <w:t>.</w:t>
          </w:r>
        </w:p>
        <w:p>
          <w:pPr>
            <w:pStyle w:val="BodyPaperText"/>
            <w:tabs>
              <w:tab w:val="clear" w:pos="468"/>
              <w:tab w:val="left" w:pos="2268" w:leader="none"/>
              <w:tab w:val="left" w:pos="5812" w:leader="none"/>
            </w:tabs>
            <w:spacing w:before="120" w:after="0"/>
            <w:rPr/>
          </w:pPr>
          <w:r>
            <w:rPr>
              <w:szCs w:val="20"/>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szCs w:val="20"/>
            </w:rPr>
            <w:tab/>
            <w:t>(1.11)</w:t>
          </w:r>
        </w:p>
        <w:p>
          <w:pPr>
            <w:pStyle w:val="BodyPaperText"/>
            <w:tabs>
              <w:tab w:val="clear" w:pos="468"/>
              <w:tab w:val="left" w:pos="2268" w:leader="none"/>
              <w:tab w:val="left" w:pos="5812" w:leader="none"/>
            </w:tabs>
            <w:spacing w:before="0" w:after="120"/>
            <w:rPr/>
          </w:pPr>
          <w:r>
            <w:rPr>
              <w:szCs w:val="20"/>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Cs w:val="20"/>
            </w:rPr>
            <w:tab/>
            <w:t>(1.12)</w:t>
          </w:r>
        </w:p>
        <w:p>
          <w:pPr>
            <w:pStyle w:val="BodyPaperText"/>
            <w:widowControl/>
            <w:overflowPunct w:val="true"/>
            <w:bidi w:val="0"/>
            <w:spacing w:lineRule="auto" w:line="360" w:before="0" w:after="0"/>
            <w:ind w:left="0" w:right="0" w:firstLine="964"/>
            <w:jc w:val="both"/>
            <w:rPr/>
          </w:pPr>
          <w:r>
            <w:rPr/>
            <w:t>Перейдем к описанию способов применения описанной математической модели русскоязычного текстового документа для анализа текста.</w:t>
          </w:r>
          <w:r>
            <w:br w:type="page"/>
          </w:r>
        </w:p>
        <w:p>
          <w:pPr>
            <w:pStyle w:val="Heading1"/>
            <w:numPr>
              <w:ilvl w:val="0"/>
              <w:numId w:val="0"/>
            </w:numPr>
            <w:ind w:left="1429" w:right="0" w:hanging="0"/>
            <w:rPr>
              <w:highlight w:val="yellow"/>
            </w:rPr>
          </w:pPr>
          <w:bookmarkStart w:id="28" w:name="__RefHeading___Toc24434_1389336206"/>
          <w:bookmarkStart w:id="29" w:name="_Toc514507986"/>
          <w:bookmarkEnd w:id="28"/>
          <w:r>
            <w:rPr>
              <w:highlight w:val="yellow"/>
            </w:rPr>
            <w:t>ЗАКЛЮЧЕНИЕ</w:t>
          </w:r>
          <w:bookmarkEnd w:id="29"/>
        </w:p>
        <w:p>
          <w:pPr>
            <w:pStyle w:val="Normal"/>
            <w:rPr>
              <w:highlight w:val="yellow"/>
            </w:rPr>
          </w:pPr>
          <w:r>
            <w:rPr>
              <w:highlight w:val="yellow"/>
            </w:rPr>
          </w:r>
        </w:p>
        <w:p>
          <w:pPr>
            <w:pStyle w:val="Normal"/>
            <w:rPr/>
          </w:pPr>
          <w:r>
            <w:rPr>
              <w:highlight w:val="yellow"/>
            </w:rPr>
            <w:t xml:space="preserve">Таким образом, поставленные задачи были решены, цель работы достигнута. По основным результатам работы сделано 9 докладов на 9 международных, всероссийских и региональных конференциях (Саратов, Уфа, Житомир (Украина), Лорман (США)). Имеются следующие публикации по исследуемой научной тематике в периодических изданиях и материалах конференций: </w:t>
          </w:r>
        </w:p>
        <w:p>
          <w:pPr>
            <w:pStyle w:val="Normal"/>
            <w:rPr>
              <w:highlight w:val="yellow"/>
            </w:rPr>
          </w:pPr>
          <w:r>
            <w:rPr>
              <w:highlight w:val="yellow"/>
            </w:rPr>
            <w:t>Полученные результаты, в дальнейшем будут использованы в последующих научных исследованиях при разработке методов и алгоритмов оценки юзабилити настольных приложений на основании данных активности пользователя. В дальнейшем планируется что спроектированное ПО, на основании загруженных данных и специальных алгоритмов, сможет производить автоматический анализ и давать оценку юзабилити для настольных приложений целиком или их отдельных регионов.</w:t>
          </w:r>
        </w:p>
        <w:p>
          <w:pPr>
            <w:pStyle w:val="Normal"/>
            <w:rPr>
              <w:highlight w:val="yellow"/>
            </w:rPr>
          </w:pPr>
          <w:r>
            <w:rPr>
              <w:highlight w:val="yellow"/>
            </w:rPr>
          </w:r>
        </w:p>
        <w:p>
          <w:pPr>
            <w:pStyle w:val="Normal"/>
            <w:rPr>
              <w:highlight w:val="yellow"/>
            </w:rPr>
          </w:pPr>
          <w:r>
            <w:rPr>
              <w:highlight w:val="yellow"/>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30" w:name="__RefHeading___Toc24436_1389336206"/>
          <w:bookmarkStart w:id="31" w:name="_Toc514507987"/>
          <w:bookmarkEnd w:id="30"/>
          <w:r>
            <w:rPr/>
            <w:t>СПИСОК</w:t>
          </w:r>
          <w:r>
            <w:rPr>
              <w:lang w:val="en-US"/>
            </w:rPr>
            <w:t xml:space="preserve"> </w:t>
          </w:r>
          <w:r>
            <w:rPr/>
            <w:t>ИСПОЛЬЗОВАННОЙ</w:t>
          </w:r>
          <w:r>
            <w:rPr>
              <w:lang w:val="en-US"/>
            </w:rPr>
            <w:t xml:space="preserve"> </w:t>
          </w:r>
          <w:r>
            <w:rPr/>
            <w:t>ЛИТЕРАТУРЫ</w:t>
          </w:r>
          <w:bookmarkEnd w:id="31"/>
        </w:p>
        <w:p>
          <w:pPr>
            <w:pStyle w:val="Normal"/>
            <w:rPr/>
          </w:pPr>
          <w:bookmarkStart w:id="32" w:name="Ref_Reference0_number_only"/>
          <w:r>
            <w:rPr/>
            <w:fldChar w:fldCharType="begin"/>
          </w:r>
          <w:r>
            <w:rPr/>
            <w:instrText> SEQ Reference \* ARABIC </w:instrText>
          </w:r>
          <w:r>
            <w:rPr/>
            <w:fldChar w:fldCharType="separate"/>
          </w:r>
          <w:r>
            <w:rPr/>
            <w:t>1</w:t>
          </w:r>
          <w:r>
            <w:rPr/>
            <w:fldChar w:fldCharType="end"/>
          </w:r>
          <w:bookmarkEnd w:id="32"/>
          <w:r>
            <w:rPr>
              <w:lang w:val="en-US"/>
            </w:rPr>
            <w:t>. Navigli R., Velardi P. Semantic interpretation of terminological strings // Proc. 6th Int’l Conf. Terminology and Knowledge Eng. 2002. P. 95–100.</w:t>
          </w:r>
        </w:p>
        <w:p>
          <w:pPr>
            <w:pStyle w:val="Normal"/>
            <w:rPr/>
          </w:pPr>
          <w:bookmarkStart w:id="33" w:name="Ref_Reference1_number_only"/>
          <w:r>
            <w:rPr/>
            <w:fldChar w:fldCharType="begin"/>
          </w:r>
          <w:r>
            <w:rPr/>
            <w:instrText> SEQ Reference \* ARABIC </w:instrText>
          </w:r>
          <w:r>
            <w:rPr/>
            <w:fldChar w:fldCharType="separate"/>
          </w:r>
          <w:r>
            <w:rPr/>
            <w:t>2</w:t>
          </w:r>
          <w:r>
            <w:rPr/>
            <w:fldChar w:fldCharType="end"/>
          </w:r>
          <w:bookmarkEnd w:id="33"/>
          <w:r>
            <w:rPr>
              <w:lang w:val="en-US"/>
            </w:rPr>
            <w:t>. Frantzi, K. Automatic recognition of multi-word terms: The C-value/NC-value method / K. Frantzi, S. Ananiadou, H. Mima // International Journal on Digital Libraries. — 2000. — Т. 3, No 2. — С. 115—130.</w:t>
          </w:r>
        </w:p>
        <w:p>
          <w:pPr>
            <w:pStyle w:val="Normal"/>
            <w:rPr/>
          </w:pPr>
          <w:bookmarkStart w:id="34" w:name="Ref_Reference2_number_only"/>
          <w:r>
            <w:rPr/>
            <w:fldChar w:fldCharType="begin"/>
          </w:r>
          <w:r>
            <w:rPr/>
            <w:instrText> SEQ Reference \* ARABIC </w:instrText>
          </w:r>
          <w:r>
            <w:rPr/>
            <w:fldChar w:fldCharType="separate"/>
          </w:r>
          <w:r>
            <w:rPr/>
            <w:t>3</w:t>
          </w:r>
          <w:r>
            <w:rPr/>
            <w:fldChar w:fldCharType="end"/>
          </w:r>
          <w:bookmarkEnd w:id="34"/>
          <w:r>
            <w:rPr>
              <w:lang w:val="en-US"/>
            </w:rPr>
            <w:t>. Evans D. A. CLARIT-TREC experiments / D. A. Evans, R. G. Lefferts // Information processing &amp; management. 1995. Vol. 31, №. 3. P. 385–395.</w:t>
          </w:r>
        </w:p>
        <w:p>
          <w:pPr>
            <w:pStyle w:val="Normal"/>
            <w:rPr/>
          </w:pPr>
          <w:bookmarkStart w:id="35" w:name="Ref_Reference3_number_only"/>
          <w:r>
            <w:rPr/>
            <w:fldChar w:fldCharType="begin"/>
          </w:r>
          <w:r>
            <w:rPr/>
            <w:instrText> SEQ Reference \* ARABIC </w:instrText>
          </w:r>
          <w:r>
            <w:rPr/>
            <w:fldChar w:fldCharType="separate"/>
          </w:r>
          <w:r>
            <w:rPr/>
            <w:t>4</w:t>
          </w:r>
          <w:r>
            <w:rPr/>
            <w:fldChar w:fldCharType="end"/>
          </w:r>
          <w:bookmarkEnd w:id="35"/>
          <w:r>
            <w:rPr>
              <w:lang w:val="en-US"/>
            </w:rPr>
            <w:t>. Baroni, M. BootCaT: Bootstrapping corpora and terms from the web / M. Baroni, S. Bernardini // Proceedings of LREC. — 2004. — Т. 4. — С. 1313—1316.</w:t>
          </w:r>
        </w:p>
        <w:p>
          <w:pPr>
            <w:pStyle w:val="Normal"/>
            <w:rPr/>
          </w:pPr>
          <w:bookmarkStart w:id="36" w:name="Ref_Reference4_number_only"/>
          <w:r>
            <w:rPr/>
            <w:fldChar w:fldCharType="begin"/>
          </w:r>
          <w:r>
            <w:rPr/>
            <w:instrText> SEQ Reference \* ARABIC </w:instrText>
          </w:r>
          <w:r>
            <w:rPr/>
            <w:fldChar w:fldCharType="separate"/>
          </w:r>
          <w:r>
            <w:rPr/>
            <w:t>5</w:t>
          </w:r>
          <w:r>
            <w:rPr/>
            <w:fldChar w:fldCharType="end"/>
          </w:r>
          <w:bookmarkEnd w:id="36"/>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37" w:name="Ref_Reference6_number_only"/>
          <w:r>
            <w:rPr/>
            <w:fldChar w:fldCharType="begin"/>
          </w:r>
          <w:r>
            <w:rPr/>
            <w:instrText> SEQ Reference \* ARABIC </w:instrText>
          </w:r>
          <w:r>
            <w:rPr/>
            <w:fldChar w:fldCharType="separate"/>
          </w:r>
          <w:r>
            <w:rPr/>
            <w:t>7</w:t>
          </w:r>
          <w:r>
            <w:rPr/>
            <w:fldChar w:fldCharType="end"/>
          </w:r>
          <w:bookmarkEnd w:id="37"/>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38" w:name="Ref_Reference7_number_only"/>
          <w:r>
            <w:rPr/>
            <w:fldChar w:fldCharType="begin"/>
          </w:r>
          <w:r>
            <w:rPr/>
            <w:instrText> SEQ Reference \* ARABIC </w:instrText>
          </w:r>
          <w:r>
            <w:rPr/>
            <w:fldChar w:fldCharType="separate"/>
          </w:r>
          <w:r>
            <w:rPr/>
            <w:t>8</w:t>
          </w:r>
          <w:r>
            <w:rPr/>
            <w:fldChar w:fldCharType="end"/>
          </w:r>
          <w:bookmarkEnd w:id="38"/>
          <w:r>
            <w:rPr>
              <w:lang w:val="en-US"/>
            </w:rPr>
            <w:t>. Meijer Kevin, Frasincar Flavius, Hogenboom Frederik. A semantic approach for extracting domain taxonomies from text // Decision Support Systems. 2014. Т. 62. С. 78–93.</w:t>
          </w:r>
        </w:p>
        <w:p>
          <w:pPr>
            <w:pStyle w:val="Normal"/>
            <w:rPr/>
          </w:pPr>
          <w:bookmarkStart w:id="39" w:name="Ref_Reference8_number_only"/>
          <w:r>
            <w:rPr/>
            <w:fldChar w:fldCharType="begin"/>
          </w:r>
          <w:r>
            <w:rPr/>
            <w:instrText> SEQ Reference \* ARABIC </w:instrText>
          </w:r>
          <w:r>
            <w:rPr/>
            <w:fldChar w:fldCharType="separate"/>
          </w:r>
          <w:r>
            <w:rPr/>
            <w:t>9</w:t>
          </w:r>
          <w:r>
            <w:rPr/>
            <w:fldChar w:fldCharType="end"/>
          </w:r>
          <w:bookmarkEnd w:id="39"/>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40" w:name="Ref_Reference9_number_only"/>
          <w:r>
            <w:rPr/>
            <w:fldChar w:fldCharType="begin"/>
          </w:r>
          <w:r>
            <w:rPr/>
            <w:instrText> SEQ Reference \* ARABIC </w:instrText>
          </w:r>
          <w:r>
            <w:rPr/>
            <w:fldChar w:fldCharType="separate"/>
          </w:r>
          <w:r>
            <w:rPr/>
            <w:t>10</w:t>
          </w:r>
          <w:r>
            <w:rPr/>
            <w:fldChar w:fldCharType="end"/>
          </w:r>
          <w:bookmarkEnd w:id="40"/>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41" w:name="Ref_Reference10_number_only"/>
          <w:r>
            <w:rPr/>
            <w:fldChar w:fldCharType="begin"/>
          </w:r>
          <w:r>
            <w:rPr/>
            <w:instrText> SEQ Reference \* ARABIC </w:instrText>
          </w:r>
          <w:r>
            <w:rPr/>
            <w:fldChar w:fldCharType="separate"/>
          </w:r>
          <w:r>
            <w:rPr/>
            <w:t>11</w:t>
          </w:r>
          <w:r>
            <w:rPr/>
            <w:fldChar w:fldCharType="end"/>
          </w:r>
          <w:bookmarkEnd w:id="41"/>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42" w:name="Ref_Reference11_number_only"/>
          <w:r>
            <w:rPr/>
            <w:fldChar w:fldCharType="begin"/>
          </w:r>
          <w:r>
            <w:rPr/>
            <w:instrText> SEQ Reference \* ARABIC </w:instrText>
          </w:r>
          <w:r>
            <w:rPr/>
            <w:fldChar w:fldCharType="separate"/>
          </w:r>
          <w:r>
            <w:rPr/>
            <w:t>12</w:t>
          </w:r>
          <w:r>
            <w:rPr/>
            <w:fldChar w:fldCharType="end"/>
          </w:r>
          <w:bookmarkEnd w:id="42"/>
          <w:r>
            <w:rPr>
              <w:lang w:val="en-US"/>
            </w:rPr>
            <w:t>.  Vivaldi J., Rodrı́guez H. Using Wikipedia for term extraction in the biomedical domain: first experiences // Procesamiento del Lenguaje Natural. 2010. Vol. 45. P. 251–254.</w:t>
          </w:r>
        </w:p>
        <w:p>
          <w:pPr>
            <w:pStyle w:val="Normal"/>
            <w:rPr/>
          </w:pPr>
          <w:bookmarkStart w:id="43" w:name="Ref_Reference16_number_only"/>
          <w:r>
            <w:rPr/>
            <w:fldChar w:fldCharType="begin"/>
          </w:r>
          <w:r>
            <w:rPr/>
            <w:instrText> SEQ Reference \* ARABIC </w:instrText>
          </w:r>
          <w:r>
            <w:rPr/>
            <w:fldChar w:fldCharType="separate"/>
          </w:r>
          <w:r>
            <w:rPr/>
            <w:t>13</w:t>
          </w:r>
          <w:r>
            <w:rPr/>
            <w:fldChar w:fldCharType="end"/>
          </w:r>
          <w:bookmarkEnd w:id="43"/>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44" w:name="Ref_Reference13_number_only"/>
          <w:r>
            <w:rPr/>
            <w:fldChar w:fldCharType="begin"/>
          </w:r>
          <w:r>
            <w:rPr/>
            <w:instrText> SEQ Reference \* ARABIC </w:instrText>
          </w:r>
          <w:r>
            <w:rPr/>
            <w:fldChar w:fldCharType="separate"/>
          </w:r>
          <w:r>
            <w:rPr/>
            <w:t>14</w:t>
          </w:r>
          <w:r>
            <w:rPr/>
            <w:fldChar w:fldCharType="end"/>
          </w:r>
          <w:bookmarkEnd w:id="44"/>
          <w:r>
            <w:rPr>
              <w:lang w:val="en-US"/>
            </w:rPr>
            <w:t>. Гринев-Гриневич, С. В. Терминоведение // М.: Академия. 2008. Т. 304.</w:t>
          </w:r>
        </w:p>
        <w:p>
          <w:pPr>
            <w:pStyle w:val="Normal"/>
            <w:rPr/>
          </w:pPr>
          <w:bookmarkStart w:id="45" w:name="Ref_Reference14_number_only"/>
          <w:r>
            <w:rPr/>
            <w:fldChar w:fldCharType="begin"/>
          </w:r>
          <w:r>
            <w:rPr/>
            <w:instrText> SEQ Reference \* ARABIC </w:instrText>
          </w:r>
          <w:r>
            <w:rPr/>
            <w:fldChar w:fldCharType="separate"/>
          </w:r>
          <w:r>
            <w:rPr/>
            <w:t>15</w:t>
          </w:r>
          <w:r>
            <w:rPr/>
            <w:fldChar w:fldCharType="end"/>
          </w:r>
          <w:bookmarkEnd w:id="45"/>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46" w:name="Ref_Reference15_number_only"/>
          <w:r>
            <w:rPr/>
            <w:fldChar w:fldCharType="begin"/>
          </w:r>
          <w:r>
            <w:rPr/>
            <w:instrText> SEQ Reference \* ARABIC </w:instrText>
          </w:r>
          <w:r>
            <w:rPr/>
            <w:fldChar w:fldCharType="separate"/>
          </w:r>
          <w:r>
            <w:rPr/>
            <w:t>16</w:t>
          </w:r>
          <w:r>
            <w:rPr/>
            <w:fldChar w:fldCharType="end"/>
          </w:r>
          <w:bookmarkEnd w:id="46"/>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47" w:name="Ref_Reference17_number_only"/>
          <w:r>
            <w:rPr/>
            <w:fldChar w:fldCharType="begin"/>
          </w:r>
          <w:r>
            <w:rPr/>
            <w:instrText> SEQ Reference \* ARABIC </w:instrText>
          </w:r>
          <w:r>
            <w:rPr/>
            <w:fldChar w:fldCharType="separate"/>
          </w:r>
          <w:r>
            <w:rPr/>
            <w:t>17</w:t>
          </w:r>
          <w:r>
            <w:rPr/>
            <w:fldChar w:fldCharType="end"/>
          </w:r>
          <w:bookmarkEnd w:id="47"/>
          <w:r>
            <w:rPr>
              <w:lang w:val="en-US"/>
            </w:rPr>
            <w:t>. Винокур Г.О. Грамматические наблюдения в области технической терминологии // Труды МИИФЛИ. 1939. Т. 5.</w:t>
          </w:r>
        </w:p>
        <w:p>
          <w:pPr>
            <w:pStyle w:val="Normal"/>
            <w:rPr/>
          </w:pPr>
          <w:bookmarkStart w:id="48" w:name="Ref_Reference18_number_only"/>
          <w:r>
            <w:rPr/>
            <w:fldChar w:fldCharType="begin"/>
          </w:r>
          <w:r>
            <w:rPr/>
            <w:instrText> SEQ Reference \* ARABIC </w:instrText>
          </w:r>
          <w:r>
            <w:rPr/>
            <w:fldChar w:fldCharType="separate"/>
          </w:r>
          <w:r>
            <w:rPr/>
            <w:t>18</w:t>
          </w:r>
          <w:r>
            <w:rPr/>
            <w:fldChar w:fldCharType="end"/>
          </w:r>
          <w:bookmarkEnd w:id="48"/>
          <w:r>
            <w:rPr>
              <w:lang w:val="en-US"/>
            </w:rPr>
            <w:t xml:space="preserve">. </w:t>
          </w:r>
          <w:r>
            <w:rPr/>
            <w:t>Жеребило Т.В. Словарь лингвистических терминов. // Назрань: Пилигрим, 2010.</w:t>
          </w:r>
        </w:p>
        <w:p>
          <w:pPr>
            <w:pStyle w:val="Normal"/>
            <w:rPr/>
          </w:pPr>
          <w:bookmarkStart w:id="49" w:name="Ref_Reference19_number_only"/>
          <w:r>
            <w:rPr/>
            <w:fldChar w:fldCharType="begin"/>
          </w:r>
          <w:r>
            <w:rPr/>
            <w:instrText> SEQ Reference \* ARABIC </w:instrText>
          </w:r>
          <w:r>
            <w:rPr/>
            <w:fldChar w:fldCharType="separate"/>
          </w:r>
          <w:r>
            <w:rPr/>
            <w:t>19</w:t>
          </w:r>
          <w:r>
            <w:rPr/>
            <w:fldChar w:fldCharType="end"/>
          </w:r>
          <w:bookmarkEnd w:id="49"/>
          <w:r>
            <w:rPr>
              <w:lang w:val="en-US"/>
            </w:rPr>
            <w:t xml:space="preserve">. </w:t>
          </w:r>
          <w:r>
            <w:rPr/>
            <w:t>Wüster E. Einführung in die allgemeine Terminologielehre und terminologische Lexikographie (1979) // København: Handelshøjskolen. 1985.</w:t>
          </w:r>
        </w:p>
        <w:p>
          <w:pPr>
            <w:pStyle w:val="Normal"/>
            <w:rPr/>
          </w:pPr>
          <w:bookmarkStart w:id="50" w:name="Ref_Reference20_number_only"/>
          <w:r>
            <w:rPr/>
            <w:fldChar w:fldCharType="begin"/>
          </w:r>
          <w:r>
            <w:rPr/>
            <w:instrText> SEQ Reference \* ARABIC </w:instrText>
          </w:r>
          <w:r>
            <w:rPr/>
            <w:fldChar w:fldCharType="separate"/>
          </w:r>
          <w:r>
            <w:rPr/>
            <w:t>20</w:t>
          </w:r>
          <w:r>
            <w:rPr/>
            <w:fldChar w:fldCharType="end"/>
          </w:r>
          <w:bookmarkEnd w:id="50"/>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51" w:name="Ref_Reference21_number_only"/>
          <w:r>
            <w:rPr/>
            <w:fldChar w:fldCharType="begin"/>
          </w:r>
          <w:r>
            <w:rPr/>
            <w:instrText> SEQ Reference \* ARABIC </w:instrText>
          </w:r>
          <w:r>
            <w:rPr/>
            <w:fldChar w:fldCharType="separate"/>
          </w:r>
          <w:r>
            <w:rPr/>
            <w:t>21</w:t>
          </w:r>
          <w:r>
            <w:rPr/>
            <w:fldChar w:fldCharType="end"/>
          </w:r>
          <w:bookmarkEnd w:id="51"/>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52" w:name="Ref_Reference22_number_only"/>
          <w:r>
            <w:rPr/>
            <w:fldChar w:fldCharType="begin"/>
          </w:r>
          <w:r>
            <w:rPr/>
            <w:instrText> SEQ Reference \* ARABIC </w:instrText>
          </w:r>
          <w:r>
            <w:rPr/>
            <w:fldChar w:fldCharType="separate"/>
          </w:r>
          <w:r>
            <w:rPr/>
            <w:t>22</w:t>
          </w:r>
          <w:r>
            <w:rPr/>
            <w:fldChar w:fldCharType="end"/>
          </w:r>
          <w:bookmarkEnd w:id="52"/>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53" w:name="Ref_Reference23_number_only"/>
          <w:r>
            <w:rPr/>
            <w:fldChar w:fldCharType="begin"/>
          </w:r>
          <w:r>
            <w:rPr/>
            <w:instrText> SEQ Reference \* ARABIC </w:instrText>
          </w:r>
          <w:r>
            <w:rPr/>
            <w:fldChar w:fldCharType="separate"/>
          </w:r>
          <w:r>
            <w:rPr/>
            <w:t>23</w:t>
          </w:r>
          <w:r>
            <w:rPr/>
            <w:fldChar w:fldCharType="end"/>
          </w:r>
          <w:bookmarkEnd w:id="53"/>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54" w:name="Ref_Reference24_number_only"/>
          <w:r>
            <w:rPr/>
            <w:fldChar w:fldCharType="begin"/>
          </w:r>
          <w:r>
            <w:rPr/>
            <w:instrText> SEQ Reference \* ARABIC </w:instrText>
          </w:r>
          <w:r>
            <w:rPr/>
            <w:fldChar w:fldCharType="separate"/>
          </w:r>
          <w:r>
            <w:rPr/>
            <w:t>24</w:t>
          </w:r>
          <w:r>
            <w:rPr/>
            <w:fldChar w:fldCharType="end"/>
          </w:r>
          <w:bookmarkEnd w:id="54"/>
          <w:r>
            <w:rPr>
              <w:lang w:val="en-US"/>
            </w:rPr>
            <w:t>.</w:t>
          </w:r>
          <w:r>
            <w:rPr/>
            <w:t xml:space="preserve"> Kageura K., Umino B. Methods of automatic term recognition: A review // Terminology. 1996. Vol. 3, no. 2. P. 259–289.</w:t>
          </w:r>
        </w:p>
        <w:p>
          <w:pPr>
            <w:pStyle w:val="Normal"/>
            <w:rPr/>
          </w:pPr>
          <w:bookmarkStart w:id="55" w:name="Ref_Reference26_number_only"/>
          <w:r>
            <w:rPr/>
            <w:fldChar w:fldCharType="begin"/>
          </w:r>
          <w:r>
            <w:rPr/>
            <w:instrText> SEQ Reference \* ARABIC </w:instrText>
          </w:r>
          <w:r>
            <w:rPr/>
            <w:fldChar w:fldCharType="separate"/>
          </w:r>
          <w:r>
            <w:rPr/>
            <w:t>25</w:t>
          </w:r>
          <w:r>
            <w:rPr/>
            <w:fldChar w:fldCharType="end"/>
          </w:r>
          <w:bookmarkEnd w:id="55"/>
          <w:r>
            <w:rPr>
              <w:lang w:val="en-US"/>
            </w:rPr>
            <w:t>.</w:t>
          </w:r>
          <w:r>
            <w:rPr/>
            <w:t xml:space="preserve"> Pazienza M., Pennacchiotti M., Zanzotto F. Terminology extraction: an analysis of linguistic and statistical approaches // Knowledge Mining. 2005. P. 255–279.</w:t>
          </w:r>
        </w:p>
        <w:p>
          <w:pPr>
            <w:pStyle w:val="Normal"/>
            <w:rPr/>
          </w:pPr>
          <w:bookmarkStart w:id="56" w:name="Ref_Reference25_number_only"/>
          <w:r>
            <w:rPr/>
            <w:fldChar w:fldCharType="begin"/>
          </w:r>
          <w:r>
            <w:rPr/>
            <w:instrText> SEQ Reference \* ARABIC </w:instrText>
          </w:r>
          <w:r>
            <w:rPr/>
            <w:fldChar w:fldCharType="separate"/>
          </w:r>
          <w:r>
            <w:rPr/>
            <w:t>26</w:t>
          </w:r>
          <w:r>
            <w:rPr/>
            <w:fldChar w:fldCharType="end"/>
          </w:r>
          <w:bookmarkEnd w:id="56"/>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57" w:name="Ref_Reference27_number_only"/>
          <w:bookmarkStart w:id="58" w:name="Ref_Reference26_number_only1"/>
          <w:r>
            <w:rPr/>
            <w:fldChar w:fldCharType="begin"/>
          </w:r>
          <w:r>
            <w:rPr/>
            <w:instrText> SEQ Reference \* ARABIC </w:instrText>
          </w:r>
          <w:r>
            <w:rPr/>
            <w:fldChar w:fldCharType="separate"/>
          </w:r>
          <w:r>
            <w:rPr/>
            <w:t>27</w:t>
          </w:r>
          <w:r>
            <w:rPr/>
            <w:fldChar w:fldCharType="end"/>
          </w:r>
          <w:bookmarkEnd w:id="57"/>
          <w:bookmarkEnd w:id="58"/>
          <w:r>
            <w:rPr>
              <w:lang w:val="en-US"/>
            </w:rPr>
            <w:t>.</w:t>
          </w:r>
          <w:r>
            <w:rPr/>
            <w:t xml:space="preserve"> </w:t>
          </w:r>
          <w:bookmarkStart w:id="59" w:name="__DdeLink__5579_10034398331"/>
          <w:r>
            <w:rPr/>
            <w:t>Браславский</w:t>
          </w:r>
          <w:bookmarkEnd w:id="59"/>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60" w:name="Ref_Reference27_number_only11"/>
          <w:bookmarkStart w:id="61" w:name="Ref_Reference28_number_only"/>
          <w:bookmarkStart w:id="62" w:name="Ref_Reference27_number_only1"/>
          <w:r>
            <w:rPr/>
            <w:fldChar w:fldCharType="begin"/>
          </w:r>
          <w:r>
            <w:rPr/>
            <w:instrText> SEQ Reference \* ARABIC </w:instrText>
          </w:r>
          <w:r>
            <w:rPr/>
            <w:fldChar w:fldCharType="separate"/>
          </w:r>
          <w:r>
            <w:rPr/>
            <w:t>28</w:t>
          </w:r>
          <w:r>
            <w:rPr/>
            <w:fldChar w:fldCharType="end"/>
          </w:r>
          <w:bookmarkEnd w:id="60"/>
          <w:bookmarkEnd w:id="61"/>
          <w:bookmarkEnd w:id="62"/>
          <w:r>
            <w:rPr>
              <w:lang w:val="en-US"/>
            </w:rPr>
            <w:t>.</w:t>
          </w:r>
          <w:r>
            <w:rPr/>
            <w:t xml:space="preserve"> </w:t>
          </w:r>
          <w:bookmarkStart w:id="63" w:name="__DdeLink__5579_1003439833"/>
          <w:r>
            <w:rPr/>
            <w:t>Браславский</w:t>
          </w:r>
          <w:bookmarkEnd w:id="63"/>
          <w:r>
            <w:rPr/>
            <w:t xml:space="preserve"> П. И. </w:t>
          </w:r>
          <w:bookmarkStart w:id="64" w:name="__DdeLink__3963_1003439833"/>
          <w:r>
            <w:rPr/>
            <w:t>Сравнение пяти методов извлечения терминов произвольной длины</w:t>
          </w:r>
          <w:bookmarkEnd w:id="64"/>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65" w:name="__DdeLink__4466_1003439833"/>
          <w:r>
            <w:rPr/>
            <w:t xml:space="preserve"> </w:t>
          </w:r>
          <w:bookmarkStart w:id="66" w:name="__DdeLink__4505_1003439833"/>
          <w:bookmarkStart w:id="67" w:name="__DdeLink__4468_1003439833"/>
          <w:r>
            <w:rPr/>
            <w:t>–</w:t>
          </w:r>
          <w:bookmarkStart w:id="68" w:name="yui_3_14_1_1_1459196486869_894"/>
          <w:bookmarkEnd w:id="65"/>
          <w:bookmarkEnd w:id="66"/>
          <w:bookmarkEnd w:id="67"/>
          <w:bookmarkEnd w:id="68"/>
          <w:r>
            <w:rPr/>
            <w:t xml:space="preserve"> С. 67-74.</w:t>
          </w:r>
        </w:p>
        <w:p>
          <w:pPr>
            <w:pStyle w:val="Normal"/>
            <w:rPr/>
          </w:pPr>
          <w:bookmarkStart w:id="69" w:name="Ref_Reference29_number_only"/>
          <w:r>
            <w:rPr/>
            <w:fldChar w:fldCharType="begin"/>
          </w:r>
          <w:r>
            <w:rPr/>
            <w:instrText> SEQ Reference \* ARABIC </w:instrText>
          </w:r>
          <w:r>
            <w:rPr/>
            <w:fldChar w:fldCharType="separate"/>
          </w:r>
          <w:r>
            <w:rPr/>
            <w:t>29</w:t>
          </w:r>
          <w:r>
            <w:rPr/>
            <w:fldChar w:fldCharType="end"/>
          </w:r>
          <w:bookmarkEnd w:id="69"/>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70" w:name="Ref_Reference30_number_only"/>
          <w:r>
            <w:rPr/>
            <w:fldChar w:fldCharType="begin"/>
          </w:r>
          <w:r>
            <w:rPr/>
            <w:instrText> SEQ Reference \* ARABIC </w:instrText>
          </w:r>
          <w:r>
            <w:rPr/>
            <w:fldChar w:fldCharType="separate"/>
          </w:r>
          <w:r>
            <w:rPr/>
            <w:t>30</w:t>
          </w:r>
          <w:r>
            <w:rPr/>
            <w:fldChar w:fldCharType="end"/>
          </w:r>
          <w:bookmarkEnd w:id="70"/>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71" w:name="Ref_Reference31_number_only"/>
          <w:r>
            <w:rPr/>
            <w:fldChar w:fldCharType="begin"/>
          </w:r>
          <w:r>
            <w:rPr/>
            <w:instrText> SEQ Reference \* ARABIC </w:instrText>
          </w:r>
          <w:r>
            <w:rPr/>
            <w:fldChar w:fldCharType="separate"/>
          </w:r>
          <w:r>
            <w:rPr/>
            <w:t>31</w:t>
          </w:r>
          <w:r>
            <w:rPr/>
            <w:fldChar w:fldCharType="end"/>
          </w:r>
          <w:bookmarkEnd w:id="71"/>
          <w:r>
            <w:rPr>
              <w:lang w:val="en-US"/>
            </w:rPr>
            <w:t>.</w:t>
          </w:r>
          <w:r>
            <w:rPr/>
            <w:t xml:space="preserve"> Синтаксический анализ. Проект АОТ: Tech. Rep.: URL: http://www.aot.ru/docs/synan.html.</w:t>
          </w:r>
        </w:p>
        <w:p>
          <w:pPr>
            <w:pStyle w:val="Normal"/>
            <w:rPr/>
          </w:pPr>
          <w:bookmarkStart w:id="72" w:name="Ref_Reference31_number_only1"/>
          <w:bookmarkStart w:id="73" w:name="Ref_Reference32_number_only"/>
          <w:r>
            <w:rPr/>
            <w:fldChar w:fldCharType="begin"/>
          </w:r>
          <w:r>
            <w:rPr/>
            <w:instrText> SEQ Reference \* ARABIC </w:instrText>
          </w:r>
          <w:r>
            <w:rPr/>
            <w:fldChar w:fldCharType="separate"/>
          </w:r>
          <w:r>
            <w:rPr/>
            <w:t>32</w:t>
          </w:r>
          <w:r>
            <w:rPr/>
            <w:fldChar w:fldCharType="end"/>
          </w:r>
          <w:bookmarkEnd w:id="72"/>
          <w:bookmarkEnd w:id="73"/>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74" w:name="Ref_Reference32_number_only1"/>
          <w:bookmarkStart w:id="75" w:name="Ref_Reference32_number_only11"/>
          <w:bookmarkStart w:id="76" w:name="Ref_Reference33_number_only"/>
          <w:r>
            <w:rPr/>
            <w:fldChar w:fldCharType="begin"/>
          </w:r>
          <w:r>
            <w:rPr/>
            <w:instrText> SEQ Reference \* ARABIC </w:instrText>
          </w:r>
          <w:r>
            <w:rPr/>
            <w:fldChar w:fldCharType="separate"/>
          </w:r>
          <w:r>
            <w:rPr/>
            <w:t>33</w:t>
          </w:r>
          <w:r>
            <w:rPr/>
            <w:fldChar w:fldCharType="end"/>
          </w:r>
          <w:bookmarkEnd w:id="74"/>
          <w:bookmarkEnd w:id="75"/>
          <w:bookmarkEnd w:id="76"/>
          <w:r>
            <w:rPr>
              <w:lang w:val="en-US"/>
            </w:rPr>
            <w:t>.</w:t>
          </w:r>
          <w:r>
            <w:rPr>
              <w:lang w:val="ru-RU"/>
            </w:rPr>
            <w:t xml:space="preserve"> 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77" w:name="Ref_Reference34_number_only"/>
          <w:bookmarkStart w:id="78" w:name="Ref_Reference33_number_only1"/>
          <w:r>
            <w:rPr/>
            <w:fldChar w:fldCharType="begin"/>
          </w:r>
          <w:r>
            <w:rPr/>
            <w:instrText> SEQ Reference \* ARABIC </w:instrText>
          </w:r>
          <w:r>
            <w:rPr/>
            <w:fldChar w:fldCharType="separate"/>
          </w:r>
          <w:r>
            <w:rPr/>
            <w:t>34</w:t>
          </w:r>
          <w:r>
            <w:rPr/>
            <w:fldChar w:fldCharType="end"/>
          </w:r>
          <w:bookmarkEnd w:id="77"/>
          <w:bookmarkEnd w:id="78"/>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79" w:name="Ref_Reference34_number_only1"/>
          <w:r>
            <w:rPr/>
            <w:fldChar w:fldCharType="begin"/>
          </w:r>
          <w:r>
            <w:rPr/>
            <w:instrText> SEQ Reference \* ARABIC </w:instrText>
          </w:r>
          <w:r>
            <w:rPr/>
            <w:fldChar w:fldCharType="separate"/>
          </w:r>
          <w:r>
            <w:rPr/>
            <w:t>35</w:t>
          </w:r>
          <w:r>
            <w:rPr/>
            <w:fldChar w:fldCharType="end"/>
          </w:r>
          <w:bookmarkEnd w:id="79"/>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80" w:name="Ref_Reference35_number_only"/>
          <w:r>
            <w:rPr/>
            <w:fldChar w:fldCharType="begin"/>
          </w:r>
          <w:r>
            <w:rPr/>
            <w:instrText> SEQ Reference \* ARABIC </w:instrText>
          </w:r>
          <w:r>
            <w:rPr/>
            <w:fldChar w:fldCharType="separate"/>
          </w:r>
          <w:r>
            <w:rPr/>
            <w:t>36</w:t>
          </w:r>
          <w:r>
            <w:rPr/>
            <w:fldChar w:fldCharType="end"/>
          </w:r>
          <w:bookmarkEnd w:id="80"/>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81" w:name="Ref_Reference36_number_only"/>
          <w:r>
            <w:rPr/>
            <w:fldChar w:fldCharType="begin"/>
          </w:r>
          <w:r>
            <w:rPr/>
            <w:instrText> SEQ Reference \* ARABIC </w:instrText>
          </w:r>
          <w:r>
            <w:rPr/>
            <w:fldChar w:fldCharType="separate"/>
          </w:r>
          <w:r>
            <w:rPr/>
            <w:t>37</w:t>
          </w:r>
          <w:r>
            <w:rPr/>
            <w:fldChar w:fldCharType="end"/>
          </w:r>
          <w:bookmarkEnd w:id="81"/>
          <w:r>
            <w:rPr>
              <w:lang w:val="en-US"/>
            </w:rPr>
            <w:t>.</w:t>
          </w:r>
          <w:r>
            <w:rPr>
              <w:lang w:val="ru-RU"/>
            </w:rPr>
            <w:t xml:space="preserve"> </w:t>
          </w:r>
          <w:r>
            <w:rPr/>
            <w:t>Bordea G. Domain adaptive extraction of topical hierarchies for Expertise Mining. Ph.D. thesis. 2013.</w:t>
          </w:r>
        </w:p>
        <w:p>
          <w:pPr>
            <w:pStyle w:val="Normal"/>
            <w:rPr/>
          </w:pPr>
          <w:bookmarkStart w:id="82" w:name="Ref_Reference36_number_only1"/>
          <w:bookmarkStart w:id="83" w:name="Ref_Reference37_number_only"/>
          <w:r>
            <w:rPr/>
            <w:fldChar w:fldCharType="begin"/>
          </w:r>
          <w:r>
            <w:rPr/>
            <w:instrText> SEQ Reference \* ARABIC </w:instrText>
          </w:r>
          <w:r>
            <w:rPr/>
            <w:fldChar w:fldCharType="separate"/>
          </w:r>
          <w:r>
            <w:rPr/>
            <w:t>38</w:t>
          </w:r>
          <w:r>
            <w:rPr/>
            <w:fldChar w:fldCharType="end"/>
          </w:r>
          <w:bookmarkEnd w:id="82"/>
          <w:bookmarkEnd w:id="83"/>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84" w:name="Ref_Reference38_number_only"/>
          <w:bookmarkStart w:id="85" w:name="Ref_Reference36_number_only11"/>
          <w:r>
            <w:rPr/>
            <w:fldChar w:fldCharType="begin"/>
          </w:r>
          <w:r>
            <w:rPr/>
            <w:instrText> SEQ Reference \* ARABIC </w:instrText>
          </w:r>
          <w:r>
            <w:rPr/>
            <w:fldChar w:fldCharType="separate"/>
          </w:r>
          <w:r>
            <w:rPr/>
            <w:t>39</w:t>
          </w:r>
          <w:r>
            <w:rPr/>
            <w:fldChar w:fldCharType="end"/>
          </w:r>
          <w:bookmarkEnd w:id="84"/>
          <w:bookmarkEnd w:id="85"/>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86" w:name="Ref_Reference39_number_only"/>
          <w:bookmarkStart w:id="87" w:name="Ref_Reference36_number_only111"/>
          <w:r>
            <w:rPr/>
            <w:fldChar w:fldCharType="begin"/>
          </w:r>
          <w:r>
            <w:rPr/>
            <w:instrText> SEQ Reference \* ARABIC </w:instrText>
          </w:r>
          <w:r>
            <w:rPr/>
            <w:fldChar w:fldCharType="separate"/>
          </w:r>
          <w:r>
            <w:rPr/>
            <w:t>40</w:t>
          </w:r>
          <w:r>
            <w:rPr/>
            <w:fldChar w:fldCharType="end"/>
          </w:r>
          <w:bookmarkEnd w:id="86"/>
          <w:bookmarkEnd w:id="87"/>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88" w:name="Ref_Reference40_number_only"/>
          <w:bookmarkStart w:id="89" w:name="Ref_Reference36_number_only112"/>
          <w:r>
            <w:rPr/>
            <w:fldChar w:fldCharType="begin"/>
          </w:r>
          <w:r>
            <w:rPr/>
            <w:instrText> SEQ Reference \* ARABIC </w:instrText>
          </w:r>
          <w:r>
            <w:rPr/>
            <w:fldChar w:fldCharType="separate"/>
          </w:r>
          <w:r>
            <w:rPr/>
            <w:t>41</w:t>
          </w:r>
          <w:r>
            <w:rPr/>
            <w:fldChar w:fldCharType="end"/>
          </w:r>
          <w:bookmarkEnd w:id="88"/>
          <w:bookmarkEnd w:id="89"/>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90" w:name="Ref_Reference41_number_only"/>
          <w:bookmarkStart w:id="91" w:name="Ref_Reference36_number_only1121"/>
          <w:r>
            <w:rPr/>
            <w:fldChar w:fldCharType="begin"/>
          </w:r>
          <w:r>
            <w:rPr/>
            <w:instrText> SEQ Reference \* ARABIC </w:instrText>
          </w:r>
          <w:r>
            <w:rPr/>
            <w:fldChar w:fldCharType="separate"/>
          </w:r>
          <w:r>
            <w:rPr/>
            <w:t>42</w:t>
          </w:r>
          <w:r>
            <w:rPr/>
            <w:fldChar w:fldCharType="end"/>
          </w:r>
          <w:bookmarkEnd w:id="90"/>
          <w:bookmarkEnd w:id="91"/>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92" w:name="Ref_Reference42_number_only"/>
          <w:bookmarkStart w:id="93" w:name="Ref_Reference36_number_only1122"/>
          <w:r>
            <w:rPr/>
            <w:fldChar w:fldCharType="begin"/>
          </w:r>
          <w:r>
            <w:rPr/>
            <w:instrText> SEQ Reference \* ARABIC </w:instrText>
          </w:r>
          <w:r>
            <w:rPr/>
            <w:fldChar w:fldCharType="separate"/>
          </w:r>
          <w:r>
            <w:rPr/>
            <w:t>43</w:t>
          </w:r>
          <w:r>
            <w:rPr/>
            <w:fldChar w:fldCharType="end"/>
          </w:r>
          <w:bookmarkEnd w:id="92"/>
          <w:bookmarkEnd w:id="93"/>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94" w:name="Ref_Reference43_number_only"/>
          <w:bookmarkStart w:id="95" w:name="Ref_Reference36_number_only11221"/>
          <w:r>
            <w:rPr/>
            <w:fldChar w:fldCharType="begin"/>
          </w:r>
          <w:r>
            <w:rPr/>
            <w:instrText> SEQ Reference \* ARABIC </w:instrText>
          </w:r>
          <w:r>
            <w:rPr/>
            <w:fldChar w:fldCharType="separate"/>
          </w:r>
          <w:r>
            <w:rPr/>
            <w:t>44</w:t>
          </w:r>
          <w:r>
            <w:rPr/>
            <w:fldChar w:fldCharType="end"/>
          </w:r>
          <w:bookmarkEnd w:id="94"/>
          <w:bookmarkEnd w:id="95"/>
          <w:r>
            <w:rPr>
              <w:lang w:val="en-US"/>
            </w:rPr>
            <w:t>.</w:t>
          </w:r>
          <w:r>
            <w:rPr>
              <w:lang w:val="ru-RU"/>
            </w:rPr>
            <w:t xml:space="preserve"> 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96" w:name="Ref_Reference44_number_only"/>
          <w:bookmarkStart w:id="97" w:name="Ref_Reference36_number_only112211"/>
          <w:r>
            <w:rPr/>
            <w:fldChar w:fldCharType="begin"/>
          </w:r>
          <w:r>
            <w:rPr/>
            <w:instrText> SEQ Reference \* ARABIC </w:instrText>
          </w:r>
          <w:r>
            <w:rPr/>
            <w:fldChar w:fldCharType="separate"/>
          </w:r>
          <w:r>
            <w:rPr/>
            <w:t>45</w:t>
          </w:r>
          <w:r>
            <w:rPr/>
            <w:fldChar w:fldCharType="end"/>
          </w:r>
          <w:bookmarkEnd w:id="96"/>
          <w:bookmarkEnd w:id="97"/>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98" w:name="Ref_Reference44_number_only1"/>
          <w:bookmarkStart w:id="99" w:name="Ref_Reference36_number_only1122111"/>
          <w:bookmarkStart w:id="100" w:name="Ref_Reference46_number_only"/>
          <w:r>
            <w:rPr/>
            <w:fldChar w:fldCharType="begin"/>
          </w:r>
          <w:r>
            <w:rPr/>
            <w:instrText> SEQ Reference \* ARABIC </w:instrText>
          </w:r>
          <w:r>
            <w:rPr/>
            <w:fldChar w:fldCharType="separate"/>
          </w:r>
          <w:r>
            <w:rPr/>
            <w:t>46</w:t>
          </w:r>
          <w:r>
            <w:rPr/>
            <w:fldChar w:fldCharType="end"/>
          </w:r>
          <w:bookmarkEnd w:id="98"/>
          <w:bookmarkEnd w:id="99"/>
          <w:bookmarkEnd w:id="100"/>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01" w:name="Ref_Reference44_number_only11"/>
          <w:bookmarkStart w:id="102" w:name="Ref_Reference36_number_only11221111"/>
          <w:bookmarkStart w:id="103" w:name="Ref_Reference47_number_only"/>
          <w:r>
            <w:rPr/>
            <w:fldChar w:fldCharType="begin"/>
          </w:r>
          <w:r>
            <w:rPr/>
            <w:instrText> SEQ Reference \* ARABIC </w:instrText>
          </w:r>
          <w:r>
            <w:rPr/>
            <w:fldChar w:fldCharType="separate"/>
          </w:r>
          <w:r>
            <w:rPr/>
            <w:t>47</w:t>
          </w:r>
          <w:r>
            <w:rPr/>
            <w:fldChar w:fldCharType="end"/>
          </w:r>
          <w:bookmarkEnd w:id="101"/>
          <w:bookmarkEnd w:id="102"/>
          <w:bookmarkEnd w:id="103"/>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r>
            <w:rPr/>
            <w:fldChar w:fldCharType="begin"/>
          </w:r>
          <w:r>
            <w:rPr/>
            <w:instrText> SEQ Reference \* ARABIC </w:instrText>
          </w:r>
          <w:r>
            <w:rPr/>
            <w:fldChar w:fldCharType="separate"/>
          </w:r>
          <w:r>
            <w:rPr/>
            <w:t>48</w:t>
          </w:r>
          <w:r>
            <w:rPr/>
            <w:fldChar w:fldCharType="end"/>
          </w:r>
          <w:r>
            <w:rPr>
              <w:lang w:val="en-US"/>
            </w:rPr>
            <w:t>. Korobov, M. Morphological Analyzer and Generator for Russian and Ukrainian Languages / M. Korobov // Analysis of Images, Social Networks and Texts. Т. 542 / под ред. M. Y. Khachay [и др.]. — Springer International Publishing, 2015. — С. 320—332.</w:t>
          </w:r>
        </w:p>
      </w:sdtContent>
    </w:sdt>
    <w:sectPr>
      <w:type w:val="continuous"/>
      <w:pgSz w:w="11906" w:h="16838"/>
      <w:pgMar w:left="1701" w:right="850" w:header="0" w:top="1134" w:footer="708"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Liberation Sans">
    <w:altName w:val="Arial"/>
    <w:charset w:val="01"/>
    <w:family w:val="roman"/>
    <w:pitch w:val="default"/>
  </w:font>
  <w:font w:name="Cambria Math">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46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468"/>
        <w:tab w:val="center" w:pos="4677" w:leader="none"/>
        <w:tab w:val="right" w:pos="9355" w:leader="none"/>
      </w:tabs>
    </w:pPr>
    <w:rPr/>
  </w:style>
  <w:style w:type="paragraph" w:styleId="Footer">
    <w:name w:val="Footer"/>
    <w:basedOn w:val="Normal"/>
    <w:pPr>
      <w:tabs>
        <w:tab w:val="clear" w:pos="468"/>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468"/>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ContentsHeading">
    <w:name w:val="TOA Heading"/>
    <w:basedOn w:val="Heading"/>
    <w:pPr>
      <w:suppressLineNumbers/>
      <w:ind w:left="0" w:hanging="0"/>
    </w:pPr>
    <w:rPr>
      <w:b/>
      <w:bCs/>
      <w:sz w:val="32"/>
      <w:szCs w:val="32"/>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7202</TotalTime>
  <Application>LibreOffice/6.2.4.2.0$Linux_X86_64 LibreOffice_project/20$Build-2</Application>
  <Pages>43</Pages>
  <Words>7711</Words>
  <Characters>52747</Characters>
  <CharactersWithSpaces>60353</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2019-06-23T18:33:31Z</dcterms:modified>
  <cp:revision>1949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