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References</w:t>
      </w:r>
    </w:p>
    <w:p>
      <w:r>
        <w:t>Louis DN et al. Neuro Oncol 2021</w:t>
      </w:r>
    </w:p>
    <w:p>
      <w:r>
        <w:t>Perry A, Example B. A synthetic study of the lab. Brain Pathol 2020;30:1-9.</w:t>
      </w:r>
    </w:p>
    <w:p>
      <w:r>
        <w:t>Staining protocol for the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