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1F3864"/>
          <w:sz w:val="36"/>
          <w:szCs w:val="36"/>
        </w:rPr>
        <w:t xml:space="preserve">Tax Engine Documentation</w:t>
      </w:r>
    </w:p>
    <w:p>
      <w:pPr>
        <w:pStyle w:val="Heading1"/>
        <w:spacing w:after="120" w:before="240"/>
      </w:pPr>
      <w:r>
        <w:rPr>
          <w:sz w:val="22"/>
          <w:szCs w:val="22"/>
        </w:rPr>
        <w:t xml:space="preserve">Tax engine — how taxes are calculated and how to update them</w:t>
      </w:r>
    </w:p>
    <w:p>
      <w:pPr>
        <w:spacing w:after="120" w:line="276"/>
      </w:pPr>
      <w:r>
        <w:rPr>
          <w:sz w:val="22"/>
          <w:szCs w:val="22"/>
        </w:rPr>
        <w:t xml:space="preserve">How the tax engine works across both the Flask backend and the React frontend, what data it depends on, how to add a new tax year, and how to add a new province. Start here if a tax calculation is wrong, a new year needs to be added, or you need to understand how taxes feed into the child support and spousal support calculators.</w:t>
      </w:r>
    </w:p>
    <w:p>
      <w:pPr>
        <w:pBdr>
          <w:left w:val="single" w:color="4472C4" w:sz="6" w:space="10"/>
        </w:pBdr>
        <w:shd w:fill="F2F7FC" w:color="auto" w:val="clear"/>
        <w:spacing w:after="120"/>
        <w:ind w:left="720"/>
      </w:pPr>
      <w:r>
        <w:rPr>
          <w:b/>
          <w:bCs/>
          <w:sz w:val="22"/>
          <w:szCs w:val="22"/>
        </w:rPr>
        <w:t xml:space="preserve">Relationship to other docs.</w:t>
      </w:r>
      <w:r>
        <w:rPr>
          <w:sz w:val="22"/>
          <w:szCs w:val="22"/>
        </w:rPr>
        <w:t xml:space="preserve"> This document covers the tax calculation layer specifically. For the calculator workflows that *use* the tax engine (child support, spousal support, AI chat), see </w:t>
      </w:r>
      <w:r>
        <w:rPr>
          <w:color w:val="2B579A"/>
          <w:sz w:val="22"/>
          <w:szCs w:val="22"/>
          <w:u w:val="single"/>
        </w:rPr>
        <w:t xml:space="preserve">CALCULATORS.md</w:t>
      </w:r>
      <w:r>
        <w:rPr>
          <w:sz w:val="22"/>
          <w:szCs w:val="22"/>
        </w:rPr>
        <w:t xml:space="preserve">. For the hosting and deployment topology, see </w:t>
      </w:r>
      <w:r>
        <w:rPr>
          <w:color w:val="2B579A"/>
          <w:sz w:val="22"/>
          <w:szCs w:val="22"/>
          <w:u w:val="single"/>
        </w:rPr>
        <w:t xml:space="preserve">ARCHITECTURE.md</w:t>
      </w:r>
      <w:r>
        <w:rPr>
          <w:sz w:val="22"/>
          <w:szCs w:val="22"/>
        </w:rPr>
        <w:t xml:space="preserve">. For authentication, see </w:t>
      </w:r>
      <w:r>
        <w:rPr>
          <w:color w:val="2B579A"/>
          <w:sz w:val="22"/>
          <w:szCs w:val="22"/>
          <w:u w:val="single"/>
        </w:rPr>
        <w:t xml:space="preserve">AUTHENTICATION.md</w:t>
      </w:r>
      <w:r>
        <w:rPr>
          <w:sz w:val="22"/>
          <w:szCs w:val="22"/>
        </w:rPr>
        <w:t xml:space="preserve">.</w:t>
      </w:r>
    </w:p>
    <w:p>
      <w:pPr>
        <w:pBdr>
          <w:bottom w:val="single" w:color="BFBFBF" w:sz="6"/>
        </w:pBdr>
        <w:spacing w:after="120" w:before="120"/>
      </w:pPr>
    </w:p>
    <w:p>
      <w:pPr>
        <w:pStyle w:val="Heading2"/>
        <w:spacing w:after="120" w:before="240"/>
      </w:pPr>
      <w:r>
        <w:rPr>
          <w:sz w:val="22"/>
          <w:szCs w:val="22"/>
        </w:rPr>
        <w:t xml:space="preserve">Where it lives</w:t>
      </w:r>
    </w:p>
    <w:p>
      <w:pPr>
        <w:spacing w:after="120" w:line="276"/>
      </w:pPr>
      <w:r>
        <w:rPr>
          <w:sz w:val="22"/>
          <w:szCs w:val="22"/>
        </w:rPr>
        <w:t xml:space="preserve">The tax engine exists in two independent implementations — the </w:t>
      </w:r>
      <w:r>
        <w:rPr>
          <w:b/>
          <w:bCs/>
          <w:sz w:val="22"/>
          <w:szCs w:val="22"/>
        </w:rPr>
        <w:t xml:space="preserve">Flask backend</w:t>
      </w:r>
      <w:r>
        <w:rPr>
          <w:sz w:val="22"/>
          <w:szCs w:val="22"/>
        </w:rPr>
        <w:t xml:space="preserve"> (Python) used by the AI chat and spousal support iterative formula, and the </w:t>
      </w:r>
      <w:r>
        <w:rPr>
          <w:b/>
          <w:bCs/>
          <w:sz w:val="22"/>
          <w:szCs w:val="22"/>
        </w:rPr>
        <w:t xml:space="preserve">React frontend</w:t>
      </w:r>
      <w:r>
        <w:rPr>
          <w:sz w:val="22"/>
          <w:szCs w:val="22"/>
        </w:rPr>
        <w:t xml:space="preserve"> (TypeScript) used by the in-app calculator screens.</w:t>
      </w:r>
    </w:p>
    <w:p>
      <w:pPr>
        <w:pStyle w:val="Heading3"/>
        <w:spacing w:after="120" w:before="240"/>
      </w:pPr>
      <w:r>
        <w:rPr>
          <w:sz w:val="22"/>
          <w:szCs w:val="22"/>
        </w:rPr>
        <w:t xml:space="preserve">Backend (Flask —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6E4F0" w:color="auto" w:val="clear"/>
          </w:tcPr>
          <w:p>
            <w:pPr>
              <w:spacing w:after="40" w:before="40"/>
            </w:pPr>
            <w:r>
              <w:rPr>
                <w:sz w:val="22"/>
                <w:szCs w:val="22"/>
              </w:rPr>
              <w:t xml:space="preserve">Piece</w:t>
            </w:r>
          </w:p>
        </w:tc>
        <w:tc>
          <w:tcPr>
            <w:tcW w:type="dxa" w:w="4680"/>
            <w:shd w:fill="D6E4F0" w:color="auto" w:val="clear"/>
          </w:tcPr>
          <w:p>
            <w:pPr>
              <w:spacing w:after="40" w:before="40"/>
            </w:pPr>
            <w:r>
              <w:rPr>
                <w:sz w:val="22"/>
                <w:szCs w:val="22"/>
              </w:rPr>
              <w:t xml:space="preserve">File</w:t>
            </w:r>
          </w:p>
        </w:tc>
      </w:tr>
      <w:tr>
        <w:trPr>
          <w:tblHeader w:val="false"/>
        </w:trPr>
        <w:tc>
          <w:tcPr>
            <w:tcW w:type="dxa" w:w="4680"/>
            <w:shd w:fill="FFFFFF" w:color="auto" w:val="clear"/>
          </w:tcPr>
          <w:p>
            <w:pPr>
              <w:spacing w:after="40" w:before="40"/>
            </w:pPr>
            <w:r>
              <w:rPr>
                <w:sz w:val="22"/>
                <w:szCs w:val="22"/>
              </w:rPr>
              <w:t xml:space="preserve">Tax engine (all provinces)</w:t>
            </w:r>
          </w:p>
        </w:tc>
        <w:tc>
          <w:tcPr>
            <w:tcW w:type="dxa" w:w="4680"/>
            <w:shd w:fill="FFFFFF" w:color="auto" w:val="clear"/>
          </w:tcPr>
          <w:p>
            <w:pPr>
              <w:spacing w:after="40" w:before="40"/>
            </w:pPr>
            <w:r>
              <w:rPr>
                <w:color w:val="2B579A"/>
                <w:sz w:val="22"/>
                <w:szCs w:val="22"/>
                <w:u w:val="single"/>
              </w:rPr>
              <w:t xml:space="preserve">tax.py</w:t>
            </w:r>
          </w:p>
        </w:tc>
      </w:tr>
      <w:tr>
        <w:trPr>
          <w:tblHeader w:val="false"/>
        </w:trPr>
        <w:tc>
          <w:tcPr>
            <w:tcW w:type="dxa" w:w="4680"/>
            <w:shd w:fill="F2F2F2" w:color="auto" w:val="clear"/>
          </w:tcPr>
          <w:p>
            <w:pPr>
              <w:spacing w:after="40" w:before="40"/>
            </w:pPr>
            <w:r>
              <w:rPr>
                <w:sz w:val="22"/>
                <w:szCs w:val="22"/>
              </w:rPr>
              <w:t xml:space="preserve">Year-variable constants (JSON fallback)</w:t>
            </w:r>
          </w:p>
        </w:tc>
        <w:tc>
          <w:tcPr>
            <w:tcW w:type="dxa" w:w="4680"/>
            <w:shd w:fill="F2F2F2" w:color="auto" w:val="clear"/>
          </w:tcPr>
          <w:p>
            <w:pPr>
              <w:spacing w:after="40" w:before="40"/>
            </w:pPr>
            <w:r>
              <w:rPr>
                <w:color w:val="2B579A"/>
                <w:sz w:val="22"/>
                <w:szCs w:val="22"/>
                <w:u w:val="single"/>
              </w:rPr>
              <w:t xml:space="preserve">tax_constants.json</w:t>
            </w:r>
          </w:p>
        </w:tc>
      </w:tr>
      <w:tr>
        <w:trPr>
          <w:tblHeader w:val="false"/>
        </w:trPr>
        <w:tc>
          <w:tcPr>
            <w:tcW w:type="dxa" w:w="4680"/>
            <w:shd w:fill="FFFFFF" w:color="auto" w:val="clear"/>
          </w:tcPr>
          <w:p>
            <w:pPr>
              <w:spacing w:after="40" w:before="40"/>
            </w:pPr>
            <w:r>
              <w:rPr>
                <w:sz w:val="22"/>
                <w:szCs w:val="22"/>
              </w:rPr>
              <w:t xml:space="preserve">Seed script (JSON → database)</w:t>
            </w:r>
          </w:p>
        </w:tc>
        <w:tc>
          <w:tcPr>
            <w:tcW w:type="dxa" w:w="4680"/>
            <w:shd w:fill="FFFFFF" w:color="auto" w:val="clear"/>
          </w:tcPr>
          <w:p>
            <w:pPr>
              <w:spacing w:after="40" w:before="40"/>
            </w:pPr>
            <w:r>
              <w:rPr>
                <w:color w:val="2B579A"/>
                <w:sz w:val="22"/>
                <w:szCs w:val="22"/>
                <w:u w:val="single"/>
              </w:rPr>
              <w:t xml:space="preserve">auth-server/scripts/seed-tax-constants.js</w:t>
            </w:r>
          </w:p>
        </w:tc>
      </w:tr>
      <w:tr>
        <w:trPr>
          <w:tblHeader w:val="false"/>
        </w:trPr>
        <w:tc>
          <w:tcPr>
            <w:tcW w:type="dxa" w:w="4680"/>
            <w:shd w:fill="F2F2F2" w:color="auto" w:val="clear"/>
          </w:tcPr>
          <w:p>
            <w:pPr>
              <w:spacing w:after="40" w:before="40"/>
            </w:pPr>
            <w:r>
              <w:rPr>
                <w:sz w:val="22"/>
                <w:szCs w:val="22"/>
              </w:rPr>
              <w:t xml:space="preserve">SuperAdmin tax constants UI</w:t>
            </w:r>
          </w:p>
        </w:tc>
        <w:tc>
          <w:tcPr>
            <w:tcW w:type="dxa" w:w="4680"/>
            <w:shd w:fill="F2F2F2" w:color="auto" w:val="clear"/>
          </w:tcPr>
          <w:p>
            <w:pPr>
              <w:spacing w:after="40" w:before="40"/>
            </w:pPr>
            <w:r>
              <w:rPr>
                <w:color w:val="2B579A"/>
                <w:sz w:val="22"/>
                <w:szCs w:val="22"/>
                <w:u w:val="single"/>
              </w:rPr>
              <w:t xml:space="preserve">cloudact-ui/src/pages/superadmin/SuperAdminTaxConstants.tsx</w:t>
            </w:r>
          </w:p>
        </w:tc>
      </w:tr>
    </w:tbl>
    <w:p>
      <w:pPr>
        <w:spacing w:after="120"/>
      </w:pPr>
    </w:p>
    <w:p>
      <w:pPr>
        <w:pStyle w:val="Heading3"/>
        <w:spacing w:after="120" w:before="240"/>
      </w:pPr>
      <w:r>
        <w:rPr>
          <w:sz w:val="22"/>
          <w:szCs w:val="22"/>
        </w:rPr>
        <w:t xml:space="preserve">Frontend (React — TypeScript)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6E4F0" w:color="auto" w:val="clear"/>
          </w:tcPr>
          <w:p>
            <w:pPr>
              <w:spacing w:after="40" w:before="40"/>
            </w:pPr>
            <w:r>
              <w:rPr>
                <w:sz w:val="22"/>
                <w:szCs w:val="22"/>
              </w:rPr>
              <w:t xml:space="preserve">Piece</w:t>
            </w:r>
          </w:p>
        </w:tc>
        <w:tc>
          <w:tcPr>
            <w:tcW w:type="dxa" w:w="4680"/>
            <w:shd w:fill="D6E4F0" w:color="auto" w:val="clear"/>
          </w:tcPr>
          <w:p>
            <w:pPr>
              <w:spacing w:after="40" w:before="40"/>
            </w:pPr>
            <w:r>
              <w:rPr>
                <w:sz w:val="22"/>
                <w:szCs w:val="22"/>
              </w:rPr>
              <w:t xml:space="preserve">File</w:t>
            </w:r>
          </w:p>
        </w:tc>
      </w:tr>
      <w:tr>
        <w:trPr>
          <w:tblHeader w:val="false"/>
        </w:trPr>
        <w:tc>
          <w:tcPr>
            <w:tcW w:type="dxa" w:w="4680"/>
            <w:shd w:fill="FFFFFF" w:color="auto" w:val="clear"/>
          </w:tcPr>
          <w:p>
            <w:pPr>
              <w:spacing w:after="40" w:before="40"/>
            </w:pPr>
            <w:r>
              <w:rPr>
                <w:sz w:val="22"/>
                <w:szCs w:val="22"/>
              </w:rPr>
              <w:t xml:space="preserve">Tax calculation formulas (federal/provincial tax, benefits, CPP/EI, spousal support)</w:t>
            </w:r>
          </w:p>
        </w:tc>
        <w:tc>
          <w:tcPr>
            <w:tcW w:type="dxa" w:w="4680"/>
            <w:shd w:fill="FFFFFF" w:color="auto" w:val="clear"/>
          </w:tcPr>
          <w:p>
            <w:pPr>
              <w:spacing w:after="40" w:before="40"/>
            </w:pPr>
            <w:r>
              <w:rPr>
                <w:color w:val="2B579A"/>
                <w:sz w:val="22"/>
                <w:szCs w:val="22"/>
                <w:u w:val="single"/>
              </w:rPr>
              <w:t xml:space="preserve">cloudact-ui/src/utils/helpers/calculator/taxCalculationFormula.ts</w:t>
            </w:r>
          </w:p>
        </w:tc>
      </w:tr>
      <w:tr>
        <w:trPr>
          <w:tblHeader w:val="false"/>
        </w:trPr>
        <w:tc>
          <w:tcPr>
            <w:tcW w:type="dxa" w:w="4680"/>
            <w:shd w:fill="F2F2F2" w:color="auto" w:val="clear"/>
          </w:tcPr>
          <w:p>
            <w:pPr>
              <w:spacing w:after="40" w:before="40"/>
            </w:pPr>
            <w:r>
              <w:rPr>
                <w:sz w:val="22"/>
                <w:szCs w:val="22"/>
              </w:rPr>
              <w:t xml:space="preserve">Tax credit formulas (BPA, age amount, eligible dependent, CPP/EI credits, Canada employment)</w:t>
            </w:r>
          </w:p>
        </w:tc>
        <w:tc>
          <w:tcPr>
            <w:tcW w:type="dxa" w:w="4680"/>
            <w:shd w:fill="F2F2F2" w:color="auto" w:val="clear"/>
          </w:tcPr>
          <w:p>
            <w:pPr>
              <w:spacing w:after="40" w:before="40"/>
            </w:pPr>
            <w:r>
              <w:rPr>
                <w:color w:val="2B579A"/>
                <w:sz w:val="22"/>
                <w:szCs w:val="22"/>
                <w:u w:val="single"/>
              </w:rPr>
              <w:t xml:space="preserve">cloudact-ui/src/utils/helpers/calculator/creditTaxCalculationFormulas.ts</w:t>
            </w:r>
          </w:p>
        </w:tc>
      </w:tr>
      <w:tr>
        <w:trPr>
          <w:tblHeader w:val="false"/>
        </w:trPr>
        <w:tc>
          <w:tcPr>
            <w:tcW w:type="dxa" w:w="4680"/>
            <w:shd w:fill="FFFFFF" w:color="auto" w:val="clear"/>
          </w:tcPr>
          <w:p>
            <w:pPr>
              <w:spacing w:after="40" w:before="40"/>
            </w:pPr>
            <w:r>
              <w:rPr>
                <w:sz w:val="22"/>
                <w:szCs w:val="22"/>
              </w:rPr>
              <w:t xml:space="preserve">Federal tax wrapper</w:t>
            </w:r>
          </w:p>
        </w:tc>
        <w:tc>
          <w:tcPr>
            <w:tcW w:type="dxa" w:w="4680"/>
            <w:shd w:fill="FFFFFF" w:color="auto" w:val="clear"/>
          </w:tcPr>
          <w:p>
            <w:pPr>
              <w:spacing w:after="40" w:before="40"/>
            </w:pPr>
            <w:r>
              <w:rPr>
                <w:color w:val="2B579A"/>
                <w:sz w:val="22"/>
                <w:szCs w:val="22"/>
                <w:u w:val="single"/>
              </w:rPr>
              <w:t xml:space="preserve">cloudact-ui/src/utils/helpers/calculator/FederalTax/FederalTax.ts</w:t>
            </w:r>
          </w:p>
        </w:tc>
      </w:tr>
      <w:tr>
        <w:trPr>
          <w:tblHeader w:val="false"/>
        </w:trPr>
        <w:tc>
          <w:tcPr>
            <w:tcW w:type="dxa" w:w="4680"/>
            <w:shd w:fill="F2F2F2" w:color="auto" w:val="clear"/>
          </w:tcPr>
          <w:p>
            <w:pPr>
              <w:spacing w:after="40" w:before="40"/>
            </w:pPr>
            <w:r>
              <w:rPr>
                <w:sz w:val="22"/>
                <w:szCs w:val="22"/>
              </w:rPr>
              <w:t xml:space="preserve">Provincial tax wrapper (ON, BC, AB)</w:t>
            </w:r>
          </w:p>
        </w:tc>
        <w:tc>
          <w:tcPr>
            <w:tcW w:type="dxa" w:w="4680"/>
            <w:shd w:fill="F2F2F2" w:color="auto" w:val="clear"/>
          </w:tcPr>
          <w:p>
            <w:pPr>
              <w:spacing w:after="40" w:before="40"/>
            </w:pPr>
            <w:r>
              <w:rPr>
                <w:color w:val="2B579A"/>
                <w:sz w:val="22"/>
                <w:szCs w:val="22"/>
                <w:u w:val="single"/>
              </w:rPr>
              <w:t xml:space="preserve">cloudact-ui/src/utils/helpers/calculator/ProvincialTax/provincialTax.ts</w:t>
            </w:r>
          </w:p>
        </w:tc>
      </w:tr>
      <w:tr>
        <w:trPr>
          <w:tblHeader w:val="false"/>
        </w:trPr>
        <w:tc>
          <w:tcPr>
            <w:tcW w:type="dxa" w:w="4680"/>
            <w:shd w:fill="FFFFFF" w:color="auto" w:val="clear"/>
          </w:tcPr>
          <w:p>
            <w:pPr>
              <w:spacing w:after="40" w:before="40"/>
            </w:pPr>
            <w:r>
              <w:rPr>
                <w:sz w:val="22"/>
                <w:szCs w:val="22"/>
              </w:rPr>
              <w:t xml:space="preserve">Child benefit formulas</w:t>
            </w:r>
          </w:p>
        </w:tc>
        <w:tc>
          <w:tcPr>
            <w:tcW w:type="dxa" w:w="4680"/>
            <w:shd w:fill="FFFFFF" w:color="auto" w:val="clear"/>
          </w:tcPr>
          <w:p>
            <w:pPr>
              <w:spacing w:after="40" w:before="40"/>
            </w:pPr>
            <w:r>
              <w:rPr>
                <w:color w:val="2B579A"/>
                <w:sz w:val="22"/>
                <w:szCs w:val="22"/>
                <w:u w:val="single"/>
              </w:rPr>
              <w:t xml:space="preserve">cloudact-ui/src/utils/helpers/calculator/ChildBenefit/ChildBenefit.ts</w:t>
            </w:r>
          </w:p>
        </w:tc>
      </w:tr>
      <w:tr>
        <w:trPr>
          <w:tblHeader w:val="false"/>
        </w:trPr>
        <w:tc>
          <w:tcPr>
            <w:tcW w:type="dxa" w:w="4680"/>
            <w:shd w:fill="F2F2F2" w:color="auto" w:val="clear"/>
          </w:tcPr>
          <w:p>
            <w:pPr>
              <w:spacing w:after="40" w:before="40"/>
            </w:pPr>
            <w:r>
              <w:rPr>
                <w:sz w:val="22"/>
                <w:szCs w:val="22"/>
              </w:rPr>
              <w:t xml:space="preserve">Workers benefit formulas</w:t>
            </w:r>
          </w:p>
        </w:tc>
        <w:tc>
          <w:tcPr>
            <w:tcW w:type="dxa" w:w="4680"/>
            <w:shd w:fill="F2F2F2" w:color="auto" w:val="clear"/>
          </w:tcPr>
          <w:p>
            <w:pPr>
              <w:spacing w:after="40" w:before="40"/>
            </w:pPr>
            <w:r>
              <w:rPr>
                <w:color w:val="2B579A"/>
                <w:sz w:val="22"/>
                <w:szCs w:val="22"/>
                <w:u w:val="single"/>
              </w:rPr>
              <w:t xml:space="preserve">cloudact-ui/src/utils/helpers/calculator/WorkersBenefit/workersBenefits.ts</w:t>
            </w:r>
          </w:p>
        </w:tc>
      </w:tr>
    </w:tbl>
    <w:p>
      <w:pPr>
        <w:spacing w:after="120"/>
      </w:pPr>
    </w:p>
    <w:p>
      <w:pPr>
        <w:pStyle w:val="Heading3"/>
        <w:spacing w:after="120" w:before="240"/>
      </w:pPr>
      <w:r>
        <w:rPr>
          <w:sz w:val="22"/>
          <w:szCs w:val="22"/>
        </w:rPr>
        <w:t xml:space="preserve">Frontend API layer (fetching tax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6E4F0" w:color="auto" w:val="clear"/>
          </w:tcPr>
          <w:p>
            <w:pPr>
              <w:spacing w:after="40" w:before="40"/>
            </w:pPr>
            <w:r>
              <w:rPr>
                <w:sz w:val="22"/>
                <w:szCs w:val="22"/>
              </w:rPr>
              <w:t xml:space="preserve">Piece</w:t>
            </w:r>
          </w:p>
        </w:tc>
        <w:tc>
          <w:tcPr>
            <w:tcW w:type="dxa" w:w="4680"/>
            <w:shd w:fill="D6E4F0" w:color="auto" w:val="clear"/>
          </w:tcPr>
          <w:p>
            <w:pPr>
              <w:spacing w:after="40" w:before="40"/>
            </w:pPr>
            <w:r>
              <w:rPr>
                <w:sz w:val="22"/>
                <w:szCs w:val="22"/>
              </w:rPr>
              <w:t xml:space="preserve">File</w:t>
            </w:r>
          </w:p>
        </w:tc>
      </w:tr>
      <w:tr>
        <w:trPr>
          <w:tblHeader w:val="false"/>
        </w:trPr>
        <w:tc>
          <w:tcPr>
            <w:tcW w:type="dxa" w:w="4680"/>
            <w:shd w:fill="FFFFFF" w:color="auto" w:val="clear"/>
          </w:tcPr>
          <w:p>
            <w:pPr>
              <w:spacing w:after="40" w:before="40"/>
            </w:pPr>
            <w:r>
              <w:rPr>
                <w:sz w:val="22"/>
                <w:szCs w:val="22"/>
              </w:rPr>
              <w:t xml:space="preserve">Fetch tax bracket for a specific income/province/year</w:t>
            </w:r>
          </w:p>
        </w:tc>
        <w:tc>
          <w:tcPr>
            <w:tcW w:type="dxa" w:w="4680"/>
            <w:shd w:fill="FFFFFF" w:color="auto" w:val="clear"/>
          </w:tcPr>
          <w:p>
            <w:pPr>
              <w:spacing w:after="40" w:before="40"/>
            </w:pPr>
            <w:r>
              <w:rPr>
                <w:color w:val="2B579A"/>
                <w:sz w:val="22"/>
                <w:szCs w:val="22"/>
                <w:u w:val="single"/>
              </w:rPr>
              <w:t xml:space="preserve">cloudact-ui/src/utils/Apis/calcTax.ts</w:t>
            </w:r>
          </w:p>
        </w:tc>
      </w:tr>
      <w:tr>
        <w:trPr>
          <w:tblHeader w:val="false"/>
        </w:trPr>
        <w:tc>
          <w:tcPr>
            <w:tcW w:type="dxa" w:w="4680"/>
            <w:shd w:fill="F2F2F2" w:color="auto" w:val="clear"/>
          </w:tcPr>
          <w:p>
            <w:pPr>
              <w:spacing w:after="40" w:before="40"/>
            </w:pPr>
            <w:r>
              <w:rPr>
                <w:sz w:val="22"/>
                <w:szCs w:val="22"/>
              </w:rPr>
              <w:t xml:space="preserve">Fetch dynamic values (province + federal) for a year</w:t>
            </w:r>
          </w:p>
        </w:tc>
        <w:tc>
          <w:tcPr>
            <w:tcW w:type="dxa" w:w="4680"/>
            <w:shd w:fill="F2F2F2" w:color="auto" w:val="clear"/>
          </w:tcPr>
          <w:p>
            <w:pPr>
              <w:spacing w:after="40" w:before="40"/>
            </w:pPr>
            <w:r>
              <w:rPr>
                <w:color w:val="2B579A"/>
                <w:sz w:val="22"/>
                <w:szCs w:val="22"/>
                <w:u w:val="single"/>
              </w:rPr>
              <w:t xml:space="preserve">cloudact-ui/src/utils/Apis/calculator/fetchAllDynamicValues.ts</w:t>
            </w:r>
          </w:p>
        </w:tc>
      </w:tr>
      <w:tr>
        <w:trPr>
          <w:tblHeader w:val="false"/>
        </w:trPr>
        <w:tc>
          <w:tcPr>
            <w:tcW w:type="dxa" w:w="4680"/>
            <w:shd w:fill="FFFFFF" w:color="auto" w:val="clear"/>
          </w:tcPr>
          <w:p>
            <w:pPr>
              <w:spacing w:after="40" w:before="40"/>
            </w:pPr>
            <w:r>
              <w:rPr>
                <w:sz w:val="22"/>
                <w:szCs w:val="22"/>
              </w:rPr>
              <w:t xml:space="preserve">Fetch all values in tax reference DB for a year</w:t>
            </w:r>
          </w:p>
        </w:tc>
        <w:tc>
          <w:tcPr>
            <w:tcW w:type="dxa" w:w="4680"/>
            <w:shd w:fill="FFFFFF" w:color="auto" w:val="clear"/>
          </w:tcPr>
          <w:p>
            <w:pPr>
              <w:spacing w:after="40" w:before="40"/>
            </w:pPr>
            <w:r>
              <w:rPr>
                <w:color w:val="2B579A"/>
                <w:sz w:val="22"/>
                <w:szCs w:val="22"/>
                <w:u w:val="single"/>
              </w:rPr>
              <w:t xml:space="preserve">cloudact-ui/src/utils/Apis/calculator/fetchAllValuesInTaxRefDB.ts</w:t>
            </w:r>
          </w:p>
        </w:tc>
      </w:tr>
      <w:tr>
        <w:trPr>
          <w:tblHeader w:val="false"/>
        </w:trPr>
        <w:tc>
          <w:tcPr>
            <w:tcW w:type="dxa" w:w="4680"/>
            <w:shd w:fill="F2F2F2" w:color="auto" w:val="clear"/>
          </w:tcPr>
          <w:p>
            <w:pPr>
              <w:spacing w:after="40" w:before="40"/>
            </w:pPr>
            <w:r>
              <w:rPr>
                <w:sz w:val="22"/>
                <w:szCs w:val="22"/>
              </w:rPr>
              <w:t xml:space="preserve">Fetch specific tax and deduction for an amount</w:t>
            </w:r>
          </w:p>
        </w:tc>
        <w:tc>
          <w:tcPr>
            <w:tcW w:type="dxa" w:w="4680"/>
            <w:shd w:fill="F2F2F2" w:color="auto" w:val="clear"/>
          </w:tcPr>
          <w:p>
            <w:pPr>
              <w:spacing w:after="40" w:before="40"/>
            </w:pPr>
            <w:r>
              <w:rPr>
                <w:color w:val="2B579A"/>
                <w:sz w:val="22"/>
                <w:szCs w:val="22"/>
                <w:u w:val="single"/>
              </w:rPr>
              <w:t xml:space="preserve">cloudact-ui/src/utils/Apis/calculator/fetchSpecificTaxandDeductionforAmount.ts</w:t>
            </w:r>
          </w:p>
        </w:tc>
      </w:tr>
      <w:tr>
        <w:trPr>
          <w:tblHeader w:val="false"/>
        </w:trPr>
        <w:tc>
          <w:tcPr>
            <w:tcW w:type="dxa" w:w="4680"/>
            <w:shd w:fill="FFFFFF" w:color="auto" w:val="clear"/>
          </w:tcPr>
          <w:p>
            <w:pPr>
              <w:spacing w:after="40" w:before="40"/>
            </w:pPr>
            <w:r>
              <w:rPr>
                <w:sz w:val="22"/>
                <w:szCs w:val="22"/>
              </w:rPr>
              <w:t xml:space="preserve">Fetch distinct years available in tax reference</w:t>
            </w:r>
          </w:p>
        </w:tc>
        <w:tc>
          <w:tcPr>
            <w:tcW w:type="dxa" w:w="4680"/>
            <w:shd w:fill="FFFFFF" w:color="auto" w:val="clear"/>
          </w:tcPr>
          <w:p>
            <w:pPr>
              <w:spacing w:after="40" w:before="40"/>
            </w:pPr>
            <w:r>
              <w:rPr>
                <w:color w:val="2B579A"/>
                <w:sz w:val="22"/>
                <w:szCs w:val="22"/>
                <w:u w:val="single"/>
              </w:rPr>
              <w:t xml:space="preserve">cloudact-ui/src/utils/Apis/getDistinctYearsInTaxRef.ts</w:t>
            </w:r>
          </w:p>
        </w:tc>
      </w:tr>
    </w:tbl>
    <w:p>
      <w:pPr>
        <w:spacing w:after="120"/>
      </w:pPr>
    </w:p>
    <w:p>
      <w:pPr>
        <w:pBdr>
          <w:bottom w:val="single" w:color="BFBFBF" w:sz="6"/>
        </w:pBdr>
        <w:spacing w:after="120" w:before="120"/>
      </w:pPr>
    </w:p>
    <w:p>
      <w:pPr>
        <w:pStyle w:val="Heading2"/>
        <w:spacing w:after="120" w:before="240"/>
      </w:pPr>
      <w:r>
        <w:rPr>
          <w:sz w:val="22"/>
          <w:szCs w:val="22"/>
        </w:rPr>
        <w:t xml:space="preserve">How the two engines relate</w:t>
      </w:r>
    </w:p>
    <w:p>
      <w:pPr>
        <w:spacing w:after="120" w:line="276"/>
      </w:pPr>
      <w:r>
        <w:rPr>
          <w:sz w:val="22"/>
          <w:szCs w:val="22"/>
        </w:rPr>
        <w:t xml:space="preserve">The </w:t>
      </w:r>
      <w:r>
        <w:rPr>
          <w:b/>
          <w:bCs/>
          <w:sz w:val="22"/>
          <w:szCs w:val="22"/>
        </w:rPr>
        <w:t xml:space="preserve">backend</w:t>
      </w:r>
      <w:r>
        <w:rPr>
          <w:sz w:val="22"/>
          <w:szCs w:val="22"/>
        </w:rPr>
        <w:t xml:space="preserve"> engine in </w:t>
      </w:r>
      <w:r>
        <w:rPr>
          <w:color w:val="2B579A"/>
          <w:sz w:val="22"/>
          <w:szCs w:val="22"/>
          <w:u w:val="single"/>
        </w:rPr>
        <w:t xml:space="preserve">tax.py</w:t>
      </w:r>
      <w:r>
        <w:rPr>
          <w:sz w:val="22"/>
          <w:szCs w:val="22"/>
        </w:rPr>
        <w:t xml:space="preserve"> is the authoritative, complete implementation. It is used by:</w:t>
      </w:r>
    </w:p>
    <w:p>
      <w:pPr>
        <w:pStyle w:val="ListParagraph"/>
        <w:numPr>
          <w:ilvl w:val="0"/>
          <w:numId w:val="1"/>
        </w:numPr>
        <w:spacing w:after="60"/>
      </w:pPr>
      <w:r>
        <w:rPr>
          <w:sz w:val="22"/>
          <w:szCs w:val="22"/>
        </w:rPr>
        <w:t xml:space="preserve">The spousal support iterative formula (</w:t>
      </w:r>
      <w:r>
        <w:rPr>
          <w:rFonts w:ascii="Courier New" w:cs="Courier New" w:eastAsia="Courier New" w:hAnsi="Courier New"/>
          <w:sz w:val="20"/>
          <w:szCs w:val="20"/>
          <w:shd w:fill="E8E8E8" w:color="auto" w:val="clear"/>
        </w:rPr>
        <w:t xml:space="preserve">calculate_spousal_support_iterative</w:t>
      </w:r>
    </w:p>
    <w:p>
      <w:pPr>
        <w:spacing w:after="120" w:line="276"/>
      </w:pPr>
      <w:r>
        <w:rPr>
          <w:sz w:val="22"/>
          <w:szCs w:val="22"/>
        </w:rPr>
        <w:t xml:space="preserve">  in </w:t>
      </w:r>
      <w:r>
        <w:rPr>
          <w:color w:val="2B579A"/>
          <w:sz w:val="22"/>
          <w:szCs w:val="22"/>
          <w:u w:val="single"/>
        </w:rPr>
        <w:t xml:space="preserve">spousal_support.py</w:t>
      </w:r>
      <w:r>
        <w:rPr>
          <w:sz w:val="22"/>
          <w:szCs w:val="22"/>
        </w:rPr>
        <w:t xml:space="preserve">), which calls the tax engine on   every iteration step so spousal support and taxes converge together.</w:t>
      </w:r>
    </w:p>
    <w:p>
      <w:pPr>
        <w:pStyle w:val="ListParagraph"/>
        <w:numPr>
          <w:ilvl w:val="0"/>
          <w:numId w:val="1"/>
        </w:numPr>
        <w:spacing w:after="60"/>
      </w:pPr>
      <w:r>
        <w:rPr>
          <w:sz w:val="22"/>
          <w:szCs w:val="22"/>
        </w:rPr>
        <w:t xml:space="preserve">All AI chat workflows (</w:t>
      </w:r>
      <w:r>
        <w:rPr>
          <w:rFonts w:ascii="Courier New" w:cs="Courier New" w:eastAsia="Courier New" w:hAnsi="Courier New"/>
          <w:sz w:val="20"/>
          <w:szCs w:val="20"/>
          <w:shd w:fill="E8E8E8" w:color="auto" w:val="clear"/>
        </w:rPr>
        <w:t xml:space="preserve">/chat</w:t>
      </w:r>
      <w:r>
        <w:rPr>
          <w:sz w:val="22"/>
          <w:szCs w:val="22"/>
        </w:rPr>
        <w:t xml:space="preserve">, </w:t>
      </w:r>
      <w:r>
        <w:rPr>
          <w:rFonts w:ascii="Courier New" w:cs="Courier New" w:eastAsia="Courier New" w:hAnsi="Courier New"/>
          <w:sz w:val="20"/>
          <w:szCs w:val="20"/>
          <w:shd w:fill="E8E8E8" w:color="auto" w:val="clear"/>
        </w:rPr>
        <w:t xml:space="preserve">/spousal-chat</w:t>
      </w:r>
      <w:r>
        <w:rPr>
          <w:sz w:val="22"/>
          <w:szCs w:val="22"/>
        </w:rPr>
        <w:t xml:space="preserve">, </w:t>
      </w:r>
      <w:r>
        <w:rPr>
          <w:rFonts w:ascii="Courier New" w:cs="Courier New" w:eastAsia="Courier New" w:hAnsi="Courier New"/>
          <w:sz w:val="20"/>
          <w:szCs w:val="20"/>
          <w:shd w:fill="E8E8E8" w:color="auto" w:val="clear"/>
        </w:rPr>
        <w:t xml:space="preserve">/tax-chat</w:t>
      </w:r>
      <w:r>
        <w:rPr>
          <w:sz w:val="22"/>
          <w:szCs w:val="22"/>
        </w:rPr>
        <w:t xml:space="preserve">) via the tool</w:t>
      </w:r>
    </w:p>
    <w:p>
      <w:pPr>
        <w:spacing w:after="120" w:line="276"/>
      </w:pPr>
      <w:r>
        <w:rPr>
          <w:sz w:val="22"/>
          <w:szCs w:val="22"/>
        </w:rPr>
        <w:t xml:space="preserve">  functions that Claude invokes.</w:t>
      </w:r>
    </w:p>
    <w:p>
      <w:pPr>
        <w:spacing w:after="120" w:line="276"/>
      </w:pPr>
      <w:r>
        <w:rPr>
          <w:sz w:val="22"/>
          <w:szCs w:val="22"/>
        </w:rPr>
        <w:t xml:space="preserve">The </w:t>
      </w:r>
      <w:r>
        <w:rPr>
          <w:b/>
          <w:bCs/>
          <w:sz w:val="22"/>
          <w:szCs w:val="22"/>
        </w:rPr>
        <w:t xml:space="preserve">frontend</w:t>
      </w:r>
      <w:r>
        <w:rPr>
          <w:sz w:val="22"/>
          <w:szCs w:val="22"/>
        </w:rPr>
        <w:t xml:space="preserve"> engine in the TypeScript files is used by the in-app calculator screens (Screen 2 / Screen 4) for real-time tax computation as the user adjusts inputs. It fetches tax brackets and dynamic values from the auth-server's database API, then runs the same formulas client-side.</w:t>
      </w:r>
    </w:p>
    <w:p>
      <w:pPr>
        <w:spacing w:after="120" w:line="276"/>
      </w:pPr>
      <w:r>
        <w:rPr>
          <w:sz w:val="22"/>
          <w:szCs w:val="22"/>
        </w:rPr>
        <w:t xml:space="preserve">Both engines implement the same formulas and should produce matching results. When updating tax logic, both must be changed.</w:t>
      </w:r>
    </w:p>
    <w:p>
      <w:pPr>
        <w:pBdr>
          <w:bottom w:val="single" w:color="BFBFBF" w:sz="6"/>
        </w:pBdr>
        <w:spacing w:after="120" w:before="120"/>
      </w:pPr>
    </w:p>
    <w:p>
      <w:pPr>
        <w:pStyle w:val="Heading2"/>
        <w:spacing w:after="120" w:before="240"/>
      </w:pPr>
      <w:r>
        <w:rPr>
          <w:sz w:val="22"/>
          <w:szCs w:val="22"/>
        </w:rPr>
        <w:t xml:space="preserve">Constants: two categories</w:t>
      </w:r>
    </w:p>
    <w:p>
      <w:pPr>
        <w:spacing w:after="120" w:line="276"/>
      </w:pPr>
      <w:r>
        <w:rPr>
          <w:sz w:val="22"/>
          <w:szCs w:val="22"/>
        </w:rPr>
        <w:t xml:space="preserve">Tax constants are split into two categories, documented at the top of </w:t>
      </w:r>
      <w:r>
        <w:rPr>
          <w:color w:val="2B579A"/>
          <w:sz w:val="22"/>
          <w:szCs w:val="22"/>
          <w:u w:val="single"/>
        </w:rPr>
        <w:t xml:space="preserve">tax.py</w:t>
      </w:r>
      <w:r>
        <w:rPr>
          <w:sz w:val="22"/>
          <w:szCs w:val="22"/>
        </w:rPr>
        <w:t xml:space="preserve">:</w:t>
      </w:r>
    </w:p>
    <w:p>
      <w:pPr>
        <w:pStyle w:val="Heading3"/>
        <w:spacing w:after="120" w:before="240"/>
      </w:pPr>
      <w:r>
        <w:rPr>
          <w:sz w:val="22"/>
          <w:szCs w:val="22"/>
        </w:rPr>
        <w:t xml:space="preserve">Section A — Year-variable (update every year)</w:t>
      </w:r>
    </w:p>
    <w:p>
      <w:pPr>
        <w:spacing w:after="120" w:line="276"/>
      </w:pPr>
      <w:r>
        <w:rPr>
          <w:sz w:val="22"/>
          <w:szCs w:val="22"/>
        </w:rPr>
        <w:t xml:space="preserve">These change annually as CRA and the provinces index amounts for inflation. They live in </w:t>
      </w:r>
      <w:r>
        <w:rPr>
          <w:color w:val="2B579A"/>
          <w:sz w:val="22"/>
          <w:szCs w:val="22"/>
          <w:u w:val="single"/>
        </w:rPr>
        <w:t xml:space="preserve">tax_constants.json</w:t>
      </w:r>
      <w:r>
        <w:rPr>
          <w:sz w:val="22"/>
          <w:szCs w:val="22"/>
        </w:rPr>
        <w:t xml:space="preserve">, keyed by year (e.g. </w:t>
      </w:r>
      <w:r>
        <w:rPr>
          <w:rFonts w:ascii="Courier New" w:cs="Courier New" w:eastAsia="Courier New" w:hAnsi="Courier New"/>
          <w:sz w:val="20"/>
          <w:szCs w:val="20"/>
          <w:shd w:fill="E8E8E8" w:color="auto" w:val="clear"/>
        </w:rPr>
        <w:t xml:space="preserve">"2025"</w:t>
      </w:r>
      <w:r>
        <w:rPr>
          <w:sz w:val="22"/>
          <w:szCs w:val="22"/>
        </w:rPr>
        <w:t xml:space="preserve">). Examples:</w:t>
      </w:r>
    </w:p>
    <w:p>
      <w:pPr>
        <w:pStyle w:val="ListParagraph"/>
        <w:numPr>
          <w:ilvl w:val="0"/>
          <w:numId w:val="1"/>
        </w:numPr>
        <w:spacing w:after="60"/>
      </w:pPr>
      <w:r>
        <w:rPr>
          <w:b/>
          <w:bCs/>
          <w:sz w:val="22"/>
          <w:szCs w:val="22"/>
        </w:rPr>
        <w:t xml:space="preserve">Bracket tables:</w:t>
      </w:r>
      <w:r>
        <w:rPr>
          <w:sz w:val="22"/>
          <w:szCs w:val="22"/>
        </w:rPr>
        <w:t xml:space="preserve"> </w:t>
      </w:r>
      <w:r>
        <w:rPr>
          <w:rFonts w:ascii="Courier New" w:cs="Courier New" w:eastAsia="Courier New" w:hAnsi="Courier New"/>
          <w:sz w:val="20"/>
          <w:szCs w:val="20"/>
          <w:shd w:fill="E8E8E8" w:color="auto" w:val="clear"/>
        </w:rPr>
        <w:t xml:space="preserve">FEDERAL_BRACKETS</w:t>
      </w:r>
      <w:r>
        <w:rPr>
          <w:sz w:val="22"/>
          <w:szCs w:val="22"/>
        </w:rPr>
        <w:t xml:space="preserve">, </w:t>
      </w:r>
      <w:r>
        <w:rPr>
          <w:rFonts w:ascii="Courier New" w:cs="Courier New" w:eastAsia="Courier New" w:hAnsi="Courier New"/>
          <w:sz w:val="20"/>
          <w:szCs w:val="20"/>
          <w:shd w:fill="E8E8E8" w:color="auto" w:val="clear"/>
        </w:rPr>
        <w:t xml:space="preserve">ON_BRACKETS</w:t>
      </w:r>
      <w:r>
        <w:rPr>
          <w:sz w:val="22"/>
          <w:szCs w:val="22"/>
        </w:rPr>
        <w:t xml:space="preserve">, </w:t>
      </w:r>
      <w:r>
        <w:rPr>
          <w:rFonts w:ascii="Courier New" w:cs="Courier New" w:eastAsia="Courier New" w:hAnsi="Courier New"/>
          <w:sz w:val="20"/>
          <w:szCs w:val="20"/>
          <w:shd w:fill="E8E8E8" w:color="auto" w:val="clear"/>
        </w:rPr>
        <w:t xml:space="preserve">BC_BRACKETS</w:t>
      </w:r>
      <w:r>
        <w:rPr>
          <w:sz w:val="22"/>
          <w:szCs w:val="22"/>
        </w:rPr>
        <w:t xml:space="preserve">,</w:t>
      </w:r>
    </w:p>
    <w:p>
      <w:pPr>
        <w:spacing w:after="120" w:line="276"/>
      </w:pPr>
      <w:r>
        <w:rPr>
          <w:sz w:val="22"/>
          <w:szCs w:val="22"/>
        </w:rPr>
        <w:t xml:space="preserve">  </w:t>
      </w:r>
      <w:r>
        <w:rPr>
          <w:rFonts w:ascii="Courier New" w:cs="Courier New" w:eastAsia="Courier New" w:hAnsi="Courier New"/>
          <w:sz w:val="20"/>
          <w:szCs w:val="20"/>
          <w:shd w:fill="E8E8E8" w:color="auto" w:val="clear"/>
        </w:rPr>
        <w:t xml:space="preserve">AB_BRACKETS</w:t>
      </w:r>
      <w:r>
        <w:rPr>
          <w:sz w:val="22"/>
          <w:szCs w:val="22"/>
        </w:rPr>
        <w:t xml:space="preserve">, </w:t>
      </w:r>
      <w:r>
        <w:rPr>
          <w:rFonts w:ascii="Courier New" w:cs="Courier New" w:eastAsia="Courier New" w:hAnsi="Courier New"/>
          <w:sz w:val="20"/>
          <w:szCs w:val="20"/>
          <w:shd w:fill="E8E8E8" w:color="auto" w:val="clear"/>
        </w:rPr>
        <w:t xml:space="preserve">SK_BRACKETS</w:t>
      </w:r>
      <w:r>
        <w:rPr>
          <w:sz w:val="22"/>
          <w:szCs w:val="22"/>
        </w:rPr>
        <w:t xml:space="preserve">, </w:t>
      </w:r>
      <w:r>
        <w:rPr>
          <w:rFonts w:ascii="Courier New" w:cs="Courier New" w:eastAsia="Courier New" w:hAnsi="Courier New"/>
          <w:sz w:val="20"/>
          <w:szCs w:val="20"/>
          <w:shd w:fill="E8E8E8" w:color="auto" w:val="clear"/>
        </w:rPr>
        <w:t xml:space="preserve">MB_BRACKETS</w:t>
      </w:r>
      <w:r>
        <w:rPr>
          <w:sz w:val="22"/>
          <w:szCs w:val="22"/>
        </w:rPr>
        <w:t xml:space="preserve">, </w:t>
      </w:r>
      <w:r>
        <w:rPr>
          <w:rFonts w:ascii="Courier New" w:cs="Courier New" w:eastAsia="Courier New" w:hAnsi="Courier New"/>
          <w:sz w:val="20"/>
          <w:szCs w:val="20"/>
          <w:shd w:fill="E8E8E8" w:color="auto" w:val="clear"/>
        </w:rPr>
        <w:t xml:space="preserve">ON_HEALTH</w:t>
      </w:r>
    </w:p>
    <w:p>
      <w:pPr>
        <w:pStyle w:val="ListParagraph"/>
        <w:numPr>
          <w:ilvl w:val="0"/>
          <w:numId w:val="1"/>
        </w:numPr>
        <w:spacing w:after="60"/>
      </w:pPr>
      <w:r>
        <w:rPr>
          <w:b/>
          <w:bCs/>
          <w:sz w:val="22"/>
          <w:szCs w:val="22"/>
        </w:rPr>
        <w:t xml:space="preserve">Personal credit amounts:</w:t>
      </w:r>
      <w:r>
        <w:rPr>
          <w:sz w:val="22"/>
          <w:szCs w:val="22"/>
        </w:rPr>
        <w:t xml:space="preserve"> </w:t>
      </w:r>
      <w:r>
        <w:rPr>
          <w:rFonts w:ascii="Courier New" w:cs="Courier New" w:eastAsia="Courier New" w:hAnsi="Courier New"/>
          <w:sz w:val="20"/>
          <w:szCs w:val="20"/>
          <w:shd w:fill="E8E8E8" w:color="auto" w:val="clear"/>
        </w:rPr>
        <w:t xml:space="preserve">BASIC_PERSONAL_AMOUNT_FED</w:t>
      </w:r>
      <w:r>
        <w:rPr>
          <w:sz w:val="22"/>
          <w:szCs w:val="22"/>
        </w:rPr>
        <w:t xml:space="preserve">,</w:t>
      </w:r>
    </w:p>
    <w:p>
      <w:pPr>
        <w:spacing w:after="120" w:line="276"/>
      </w:pPr>
      <w:r>
        <w:rPr>
          <w:sz w:val="22"/>
          <w:szCs w:val="22"/>
        </w:rPr>
        <w:t xml:space="preserve">  </w:t>
      </w:r>
      <w:r>
        <w:rPr>
          <w:rFonts w:ascii="Courier New" w:cs="Courier New" w:eastAsia="Courier New" w:hAnsi="Courier New"/>
          <w:sz w:val="20"/>
          <w:szCs w:val="20"/>
          <w:shd w:fill="E8E8E8" w:color="auto" w:val="clear"/>
        </w:rPr>
        <w:t xml:space="preserve">BASIC_PERSONAL_AMOUNT_ON</w:t>
      </w:r>
      <w:r>
        <w:rPr>
          <w:sz w:val="22"/>
          <w:szCs w:val="22"/>
        </w:rPr>
        <w:t xml:space="preserve">, </w:t>
      </w:r>
      <w:r>
        <w:rPr>
          <w:rFonts w:ascii="Courier New" w:cs="Courier New" w:eastAsia="Courier New" w:hAnsi="Courier New"/>
          <w:sz w:val="20"/>
          <w:szCs w:val="20"/>
          <w:shd w:fill="E8E8E8" w:color="auto" w:val="clear"/>
        </w:rPr>
        <w:t xml:space="preserve">BASIC_PERSONAL_AMOUNT_BC</w:t>
      </w:r>
      <w:r>
        <w:rPr>
          <w:sz w:val="22"/>
          <w:szCs w:val="22"/>
        </w:rPr>
        <w:t xml:space="preserve">, etc.</w:t>
      </w:r>
    </w:p>
    <w:p>
      <w:pPr>
        <w:pStyle w:val="ListParagraph"/>
        <w:numPr>
          <w:ilvl w:val="0"/>
          <w:numId w:val="1"/>
        </w:numPr>
        <w:spacing w:after="60"/>
      </w:pPr>
      <w:r>
        <w:rPr>
          <w:b/>
          <w:bCs/>
          <w:sz w:val="22"/>
          <w:szCs w:val="22"/>
        </w:rPr>
        <w:t xml:space="preserve">CPP limits:</w:t>
      </w:r>
      <w:r>
        <w:rPr>
          <w:sz w:val="22"/>
          <w:szCs w:val="22"/>
        </w:rPr>
        <w:t xml:space="preserve"> </w:t>
      </w:r>
      <w:r>
        <w:rPr>
          <w:rFonts w:ascii="Courier New" w:cs="Courier New" w:eastAsia="Courier New" w:hAnsi="Courier New"/>
          <w:sz w:val="20"/>
          <w:szCs w:val="20"/>
          <w:shd w:fill="E8E8E8" w:color="auto" w:val="clear"/>
        </w:rPr>
        <w:t xml:space="preserve">BASE_CPP_LIMIT</w:t>
      </w:r>
      <w:r>
        <w:rPr>
          <w:sz w:val="22"/>
          <w:szCs w:val="22"/>
        </w:rPr>
        <w:t xml:space="preserve">, </w:t>
      </w:r>
      <w:r>
        <w:rPr>
          <w:rFonts w:ascii="Courier New" w:cs="Courier New" w:eastAsia="Courier New" w:hAnsi="Courier New"/>
          <w:sz w:val="20"/>
          <w:szCs w:val="20"/>
          <w:shd w:fill="E8E8E8" w:color="auto" w:val="clear"/>
        </w:rPr>
        <w:t xml:space="preserve">ENHANCED_CPP_LIMIT</w:t>
      </w:r>
      <w:r>
        <w:rPr>
          <w:sz w:val="22"/>
          <w:szCs w:val="22"/>
        </w:rPr>
        <w:t xml:space="preserve">, </w:t>
      </w:r>
      <w:r>
        <w:rPr>
          <w:rFonts w:ascii="Courier New" w:cs="Courier New" w:eastAsia="Courier New" w:hAnsi="Courier New"/>
          <w:sz w:val="20"/>
          <w:szCs w:val="20"/>
          <w:shd w:fill="E8E8E8" w:color="auto" w:val="clear"/>
        </w:rPr>
        <w:t xml:space="preserve">CPP2_MAX_AMT</w:t>
      </w:r>
    </w:p>
    <w:p>
      <w:pPr>
        <w:pStyle w:val="ListParagraph"/>
        <w:numPr>
          <w:ilvl w:val="0"/>
          <w:numId w:val="1"/>
        </w:numPr>
        <w:spacing w:after="60"/>
      </w:pPr>
      <w:r>
        <w:rPr>
          <w:b/>
          <w:bCs/>
          <w:sz w:val="22"/>
          <w:szCs w:val="22"/>
        </w:rPr>
        <w:t xml:space="preserve">EI:</w:t>
      </w:r>
      <w:r>
        <w:rPr>
          <w:sz w:val="22"/>
          <w:szCs w:val="22"/>
        </w:rPr>
        <w:t xml:space="preserve"> </w:t>
      </w:r>
      <w:r>
        <w:rPr>
          <w:rFonts w:ascii="Courier New" w:cs="Courier New" w:eastAsia="Courier New" w:hAnsi="Courier New"/>
          <w:sz w:val="20"/>
          <w:szCs w:val="20"/>
          <w:shd w:fill="E8E8E8" w:color="auto" w:val="clear"/>
        </w:rPr>
        <w:t xml:space="preserve">EI_RATE</w:t>
      </w:r>
      <w:r>
        <w:rPr>
          <w:sz w:val="22"/>
          <w:szCs w:val="22"/>
        </w:rPr>
        <w:t xml:space="preserve">, </w:t>
      </w:r>
      <w:r>
        <w:rPr>
          <w:rFonts w:ascii="Courier New" w:cs="Courier New" w:eastAsia="Courier New" w:hAnsi="Courier New"/>
          <w:sz w:val="20"/>
          <w:szCs w:val="20"/>
          <w:shd w:fill="E8E8E8" w:color="auto" w:val="clear"/>
        </w:rPr>
        <w:t xml:space="preserve">EI_LIMIT</w:t>
      </w:r>
    </w:p>
    <w:p>
      <w:pPr>
        <w:pStyle w:val="ListParagraph"/>
        <w:numPr>
          <w:ilvl w:val="0"/>
          <w:numId w:val="1"/>
        </w:numPr>
        <w:spacing w:after="60"/>
      </w:pPr>
      <w:r>
        <w:rPr>
          <w:b/>
          <w:bCs/>
          <w:sz w:val="22"/>
          <w:szCs w:val="22"/>
        </w:rPr>
        <w:t xml:space="preserve">Benefit amounts:</w:t>
      </w:r>
      <w:r>
        <w:rPr>
          <w:sz w:val="22"/>
          <w:szCs w:val="22"/>
        </w:rPr>
        <w:t xml:space="preserve"> CWB, CCB, GST/HST, OCB, OSTC, CAI, BC Child Benefit,</w:t>
      </w:r>
    </w:p>
    <w:p>
      <w:pPr>
        <w:spacing w:after="120" w:line="276"/>
      </w:pPr>
      <w:r>
        <w:rPr>
          <w:sz w:val="22"/>
          <w:szCs w:val="22"/>
        </w:rPr>
        <w:t xml:space="preserve">  BC Climate Action, ACFB, SK/MB climate action, SK SLITC</w:t>
      </w:r>
    </w:p>
    <w:p>
      <w:pPr>
        <w:spacing w:after="120" w:line="276"/>
      </w:pPr>
      <w:r>
        <w:rPr>
          <w:sz w:val="22"/>
          <w:szCs w:val="22"/>
        </w:rPr>
        <w:t xml:space="preserve">Each constant in </w:t>
      </w:r>
      <w:r>
        <w:rPr>
          <w:rFonts w:ascii="Courier New" w:cs="Courier New" w:eastAsia="Courier New" w:hAnsi="Courier New"/>
          <w:sz w:val="20"/>
          <w:szCs w:val="20"/>
          <w:shd w:fill="E8E8E8" w:color="auto" w:val="clear"/>
        </w:rPr>
        <w:t xml:space="preserve">tax_constants.json</w:t>
      </w:r>
      <w:r>
        <w:rPr>
          <w:sz w:val="22"/>
          <w:szCs w:val="22"/>
        </w:rPr>
        <w:t xml:space="preserve"> has a preceding comment key (e.g. </w:t>
      </w:r>
      <w:r>
        <w:rPr>
          <w:rFonts w:ascii="Courier New" w:cs="Courier New" w:eastAsia="Courier New" w:hAnsi="Courier New"/>
          <w:sz w:val="20"/>
          <w:szCs w:val="20"/>
          <w:shd w:fill="E8E8E8" w:color="auto" w:val="clear"/>
        </w:rPr>
        <w:t xml:space="preserve">"A7_FED_BRACKETS_COMMENT"</w:t>
      </w:r>
      <w:r>
        <w:rPr>
          <w:sz w:val="22"/>
          <w:szCs w:val="22"/>
        </w:rPr>
        <w:t xml:space="preserve">) that documents its source and purpose.</w:t>
      </w:r>
    </w:p>
    <w:p>
      <w:pPr>
        <w:pStyle w:val="Heading3"/>
        <w:spacing w:after="120" w:before="240"/>
      </w:pPr>
      <w:r>
        <w:rPr>
          <w:sz w:val="22"/>
          <w:szCs w:val="22"/>
        </w:rPr>
        <w:t xml:space="preserve">Section B — Structural (rarely change)</w:t>
      </w:r>
    </w:p>
    <w:p>
      <w:pPr>
        <w:spacing w:after="120" w:line="276"/>
      </w:pPr>
      <w:r>
        <w:rPr>
          <w:sz w:val="22"/>
          <w:szCs w:val="22"/>
        </w:rPr>
        <w:t xml:space="preserve">These are set by statute and only change if Parliament or a provincial legislature amends the relevant act. They are hardcoded in </w:t>
      </w:r>
      <w:r>
        <w:rPr>
          <w:color w:val="2B579A"/>
          <w:sz w:val="22"/>
          <w:szCs w:val="22"/>
          <w:u w:val="single"/>
        </w:rPr>
        <w:t xml:space="preserve">tax.py</w:t>
      </w:r>
      <w:r>
        <w:rPr>
          <w:sz w:val="22"/>
          <w:szCs w:val="22"/>
        </w:rPr>
        <w:t xml:space="preserve"> as module-level Python constants. Examples:</w:t>
      </w:r>
    </w:p>
    <w:p>
      <w:pPr>
        <w:pStyle w:val="ListParagraph"/>
        <w:numPr>
          <w:ilvl w:val="0"/>
          <w:numId w:val="1"/>
        </w:numPr>
        <w:spacing w:after="60"/>
      </w:pPr>
      <w:r>
        <w:rPr>
          <w:rFonts w:ascii="Courier New" w:cs="Courier New" w:eastAsia="Courier New" w:hAnsi="Courier New"/>
          <w:sz w:val="20"/>
          <w:szCs w:val="20"/>
          <w:shd w:fill="E8E8E8" w:color="auto" w:val="clear"/>
        </w:rPr>
        <w:t xml:space="preserve">BASE_CPP_RATE = 0.0495</w:t>
      </w:r>
      <w:r>
        <w:rPr>
          <w:sz w:val="22"/>
          <w:szCs w:val="22"/>
        </w:rPr>
        <w:t xml:space="preserve"> (CPP Act Schedule 2)</w:t>
      </w:r>
    </w:p>
    <w:p>
      <w:pPr>
        <w:pStyle w:val="ListParagraph"/>
        <w:numPr>
          <w:ilvl w:val="0"/>
          <w:numId w:val="1"/>
        </w:numPr>
        <w:spacing w:after="60"/>
      </w:pPr>
      <w:r>
        <w:rPr>
          <w:rFonts w:ascii="Courier New" w:cs="Courier New" w:eastAsia="Courier New" w:hAnsi="Courier New"/>
          <w:sz w:val="20"/>
          <w:szCs w:val="20"/>
          <w:shd w:fill="E8E8E8" w:color="auto" w:val="clear"/>
        </w:rPr>
        <w:t xml:space="preserve">ON_CREDIT_RATE = 0.0505</w:t>
      </w:r>
      <w:r>
        <w:rPr>
          <w:sz w:val="22"/>
          <w:szCs w:val="22"/>
        </w:rPr>
        <w:t xml:space="preserve"> (lowest Ontario bracket rate)</w:t>
      </w:r>
    </w:p>
    <w:p>
      <w:pPr>
        <w:pStyle w:val="ListParagraph"/>
        <w:numPr>
          <w:ilvl w:val="0"/>
          <w:numId w:val="1"/>
        </w:numPr>
        <w:spacing w:after="60"/>
      </w:pPr>
      <w:r>
        <w:rPr>
          <w:rFonts w:ascii="Courier New" w:cs="Courier New" w:eastAsia="Courier New" w:hAnsi="Courier New"/>
          <w:sz w:val="20"/>
          <w:szCs w:val="20"/>
          <w:shd w:fill="E8E8E8" w:color="auto" w:val="clear"/>
        </w:rPr>
        <w:t xml:space="preserve">BC_CREDIT_RATE = 0.0506</w:t>
      </w:r>
      <w:r>
        <w:rPr>
          <w:sz w:val="22"/>
          <w:szCs w:val="22"/>
        </w:rPr>
        <w:t xml:space="preserve"> (lowest BC bracket rate)</w:t>
      </w:r>
    </w:p>
    <w:p>
      <w:pPr>
        <w:pStyle w:val="ListParagraph"/>
        <w:numPr>
          <w:ilvl w:val="0"/>
          <w:numId w:val="1"/>
        </w:numPr>
        <w:spacing w:after="60"/>
      </w:pPr>
      <w:r>
        <w:rPr>
          <w:rFonts w:ascii="Courier New" w:cs="Courier New" w:eastAsia="Courier New" w:hAnsi="Courier New"/>
          <w:sz w:val="20"/>
          <w:szCs w:val="20"/>
          <w:shd w:fill="E8E8E8" w:color="auto" w:val="clear"/>
        </w:rPr>
        <w:t xml:space="preserve">ON_SURTAX_RATE_1 = 0.20</w:t>
      </w:r>
      <w:r>
        <w:rPr>
          <w:sz w:val="22"/>
          <w:szCs w:val="22"/>
        </w:rPr>
        <w:t xml:space="preserve">, </w:t>
      </w:r>
      <w:r>
        <w:rPr>
          <w:rFonts w:ascii="Courier New" w:cs="Courier New" w:eastAsia="Courier New" w:hAnsi="Courier New"/>
          <w:sz w:val="20"/>
          <w:szCs w:val="20"/>
          <w:shd w:fill="E8E8E8" w:color="auto" w:val="clear"/>
        </w:rPr>
        <w:t xml:space="preserve">ON_SURTAX_RATE_2 = 0.36</w:t>
      </w:r>
    </w:p>
    <w:p>
      <w:pPr>
        <w:pStyle w:val="ListParagraph"/>
        <w:numPr>
          <w:ilvl w:val="0"/>
          <w:numId w:val="1"/>
        </w:numPr>
        <w:spacing w:after="60"/>
      </w:pPr>
      <w:r>
        <w:rPr>
          <w:rFonts w:ascii="Courier New" w:cs="Courier New" w:eastAsia="Courier New" w:hAnsi="Courier New"/>
          <w:sz w:val="20"/>
          <w:szCs w:val="20"/>
          <w:shd w:fill="E8E8E8" w:color="auto" w:val="clear"/>
        </w:rPr>
        <w:t xml:space="preserve">CWB_RATE = 0.21</w:t>
      </w:r>
      <w:r>
        <w:rPr>
          <w:sz w:val="22"/>
          <w:szCs w:val="22"/>
        </w:rPr>
        <w:t xml:space="preserve">, </w:t>
      </w:r>
      <w:r>
        <w:rPr>
          <w:rFonts w:ascii="Courier New" w:cs="Courier New" w:eastAsia="Courier New" w:hAnsi="Courier New"/>
          <w:sz w:val="20"/>
          <w:szCs w:val="20"/>
          <w:shd w:fill="E8E8E8" w:color="auto" w:val="clear"/>
        </w:rPr>
        <w:t xml:space="preserve">CWB_REDUCTION_RATE = 0.15</w:t>
      </w:r>
    </w:p>
    <w:p>
      <w:pPr>
        <w:pStyle w:val="ListParagraph"/>
        <w:numPr>
          <w:ilvl w:val="0"/>
          <w:numId w:val="1"/>
        </w:numPr>
        <w:spacing w:after="60"/>
      </w:pPr>
      <w:r>
        <w:rPr>
          <w:sz w:val="22"/>
          <w:szCs w:val="22"/>
        </w:rPr>
        <w:t xml:space="preserve">CCB phase-out rates (</w:t>
      </w:r>
      <w:r>
        <w:rPr>
          <w:rFonts w:ascii="Courier New" w:cs="Courier New" w:eastAsia="Courier New" w:hAnsi="Courier New"/>
          <w:sz w:val="20"/>
          <w:szCs w:val="20"/>
          <w:shd w:fill="E8E8E8" w:color="auto" w:val="clear"/>
        </w:rPr>
        <w:t xml:space="preserve">CCB_RATE_1_PHASE1</w:t>
      </w:r>
      <w:r>
        <w:rPr>
          <w:sz w:val="22"/>
          <w:szCs w:val="22"/>
        </w:rPr>
        <w:t xml:space="preserve"> through </w:t>
      </w:r>
      <w:r>
        <w:rPr>
          <w:rFonts w:ascii="Courier New" w:cs="Courier New" w:eastAsia="Courier New" w:hAnsi="Courier New"/>
          <w:sz w:val="20"/>
          <w:szCs w:val="20"/>
          <w:shd w:fill="E8E8E8" w:color="auto" w:val="clear"/>
        </w:rPr>
        <w:t xml:space="preserve">CCB_RATE_4_PHASE2</w:t>
      </w:r>
      <w:r>
        <w:rPr>
          <w:sz w:val="22"/>
          <w:szCs w:val="22"/>
        </w:rPr>
        <w:t xml:space="preserve">)</w:t>
      </w:r>
    </w:p>
    <w:p>
      <w:pPr>
        <w:pStyle w:val="ListParagraph"/>
        <w:numPr>
          <w:ilvl w:val="0"/>
          <w:numId w:val="1"/>
        </w:numPr>
        <w:spacing w:after="60"/>
      </w:pPr>
      <w:r>
        <w:rPr>
          <w:rFonts w:ascii="Courier New" w:cs="Courier New" w:eastAsia="Courier New" w:hAnsi="Courier New"/>
          <w:sz w:val="20"/>
          <w:szCs w:val="20"/>
          <w:shd w:fill="E8E8E8" w:color="auto" w:val="clear"/>
        </w:rPr>
        <w:t xml:space="preserve">GST_CLAWBACK_RATE = 0.05</w:t>
      </w:r>
    </w:p>
    <w:p>
      <w:pPr>
        <w:pStyle w:val="ListParagraph"/>
        <w:numPr>
          <w:ilvl w:val="0"/>
          <w:numId w:val="1"/>
        </w:numPr>
        <w:spacing w:after="60"/>
      </w:pPr>
      <w:r>
        <w:rPr>
          <w:rFonts w:ascii="Courier New" w:cs="Courier New" w:eastAsia="Courier New" w:hAnsi="Courier New"/>
          <w:sz w:val="20"/>
          <w:szCs w:val="20"/>
          <w:shd w:fill="E8E8E8" w:color="auto" w:val="clear"/>
        </w:rPr>
        <w:t xml:space="preserve">OCB_REDUCTION_RATE = 0.08</w:t>
      </w:r>
      <w:r>
        <w:rPr>
          <w:sz w:val="22"/>
          <w:szCs w:val="22"/>
        </w:rPr>
        <w:t xml:space="preserve">, </w:t>
      </w:r>
      <w:r>
        <w:rPr>
          <w:rFonts w:ascii="Courier New" w:cs="Courier New" w:eastAsia="Courier New" w:hAnsi="Courier New"/>
          <w:sz w:val="20"/>
          <w:szCs w:val="20"/>
          <w:shd w:fill="E8E8E8" w:color="auto" w:val="clear"/>
        </w:rPr>
        <w:t xml:space="preserve">OSTC_REDUCTION_RATE = 0.04</w:t>
      </w:r>
    </w:p>
    <w:p>
      <w:pPr>
        <w:pStyle w:val="ListParagraph"/>
        <w:numPr>
          <w:ilvl w:val="0"/>
          <w:numId w:val="1"/>
        </w:numPr>
        <w:spacing w:after="60"/>
      </w:pPr>
      <w:r>
        <w:rPr>
          <w:sz w:val="22"/>
          <w:szCs w:val="22"/>
        </w:rPr>
        <w:t xml:space="preserve">ACFB reduction rate tables, SK/MB structural rates</w:t>
      </w:r>
    </w:p>
    <w:p>
      <w:pPr>
        <w:pBdr>
          <w:bottom w:val="single" w:color="BFBFBF" w:sz="6"/>
        </w:pBdr>
        <w:spacing w:after="120" w:before="120"/>
      </w:pPr>
    </w:p>
    <w:p>
      <w:pPr>
        <w:pStyle w:val="Heading2"/>
        <w:spacing w:after="120" w:before="240"/>
      </w:pPr>
      <w:r>
        <w:rPr>
          <w:sz w:val="22"/>
          <w:szCs w:val="22"/>
        </w:rPr>
        <w:t xml:space="preserve">Constants storage and loading</w:t>
      </w:r>
    </w:p>
    <w:p>
      <w:pPr>
        <w:spacing w:after="120" w:line="276"/>
      </w:pPr>
      <w:r>
        <w:rPr>
          <w:sz w:val="22"/>
          <w:szCs w:val="22"/>
        </w:rPr>
        <w:t xml:space="preserve">The backend supports two storage paths for year-variable constants:</w:t>
      </w:r>
    </w:p>
    <w:p>
      <w:pPr>
        <w:pStyle w:val="Heading3"/>
        <w:spacing w:after="120" w:before="240"/>
      </w:pPr>
      <w:r>
        <w:rPr>
          <w:sz w:val="22"/>
          <w:szCs w:val="22"/>
        </w:rPr>
        <w:t xml:space="preserve">1. Database (primary — via SuperAdmin UI)</w:t>
      </w:r>
    </w:p>
    <w:p>
      <w:pPr>
        <w:spacing w:after="120" w:line="276"/>
      </w:pPr>
      <w:r>
        <w:rPr>
          <w:sz w:val="22"/>
          <w:szCs w:val="22"/>
        </w:rPr>
        <w:t xml:space="preserve">The </w:t>
      </w:r>
      <w:r>
        <w:rPr>
          <w:rFonts w:ascii="Courier New" w:cs="Courier New" w:eastAsia="Courier New" w:hAnsi="Courier New"/>
          <w:sz w:val="20"/>
          <w:szCs w:val="20"/>
          <w:shd w:fill="E8E8E8" w:color="auto" w:val="clear"/>
        </w:rPr>
        <w:t xml:space="preserve">TaxConstant</w:t>
      </w:r>
      <w:r>
        <w:rPr>
          <w:sz w:val="22"/>
          <w:szCs w:val="22"/>
        </w:rPr>
        <w:t xml:space="preserve"> Prisma model stores one JSON blob per year. The SuperAdmin page at </w:t>
      </w:r>
      <w:r>
        <w:rPr>
          <w:rFonts w:ascii="Courier New" w:cs="Courier New" w:eastAsia="Courier New" w:hAnsi="Courier New"/>
          <w:sz w:val="20"/>
          <w:szCs w:val="20"/>
          <w:shd w:fill="E8E8E8" w:color="auto" w:val="clear"/>
        </w:rPr>
        <w:t xml:space="preserve">/superadmin/tax-constants</w:t>
      </w:r>
      <w:r>
        <w:rPr>
          <w:sz w:val="22"/>
          <w:szCs w:val="22"/>
        </w:rPr>
        <w:t xml:space="preserve"> (</w:t>
      </w:r>
      <w:r>
        <w:rPr>
          <w:color w:val="2B579A"/>
          <w:sz w:val="22"/>
          <w:szCs w:val="22"/>
          <w:u w:val="single"/>
        </w:rPr>
        <w:t xml:space="preserve">SuperAdminTaxConstants.tsx</w:t>
      </w:r>
      <w:r>
        <w:rPr>
          <w:sz w:val="22"/>
          <w:szCs w:val="22"/>
        </w:rPr>
        <w:t xml:space="preserve">) lets admins view and edit every constant grouped by section (Federal, Ontario, BC, Alberta, etc.), with bracket tables rendered as editable rows.</w:t>
      </w:r>
    </w:p>
    <w:p>
      <w:pPr>
        <w:spacing w:after="120" w:line="276"/>
      </w:pPr>
      <w:r>
        <w:rPr>
          <w:sz w:val="22"/>
          <w:szCs w:val="22"/>
        </w:rPr>
        <w:t xml:space="preserve">When </w:t>
      </w:r>
      <w:r>
        <w:rPr>
          <w:color w:val="2B579A"/>
          <w:sz w:val="22"/>
          <w:szCs w:val="22"/>
          <w:u w:val="single"/>
        </w:rPr>
        <w:t xml:space="preserve">tax.py</w:t>
      </w:r>
      <w:r>
        <w:rPr>
          <w:sz w:val="22"/>
          <w:szCs w:val="22"/>
        </w:rPr>
        <w:t xml:space="preserve"> needs constants for a year, </w:t>
      </w:r>
      <w:r>
        <w:rPr>
          <w:rFonts w:ascii="Courier New" w:cs="Courier New" w:eastAsia="Courier New" w:hAnsi="Courier New"/>
          <w:sz w:val="20"/>
          <w:szCs w:val="20"/>
          <w:shd w:fill="E8E8E8" w:color="auto" w:val="clear"/>
        </w:rPr>
        <w:t xml:space="preserve">get_year_constants(year)</w:t>
      </w:r>
      <w:r>
        <w:rPr>
          <w:sz w:val="22"/>
          <w:szCs w:val="22"/>
        </w:rPr>
        <w:t xml:space="preserve"> first queries the </w:t>
      </w:r>
      <w:r>
        <w:rPr>
          <w:rFonts w:ascii="Courier New" w:cs="Courier New" w:eastAsia="Courier New" w:hAnsi="Courier New"/>
          <w:sz w:val="20"/>
          <w:szCs w:val="20"/>
          <w:shd w:fill="E8E8E8" w:color="auto" w:val="clear"/>
        </w:rPr>
        <w:t xml:space="preserve">TaxConstant</w:t>
      </w:r>
      <w:r>
        <w:rPr>
          <w:sz w:val="22"/>
          <w:szCs w:val="22"/>
        </w:rPr>
        <w:t xml:space="preserve"> table via </w:t>
      </w:r>
      <w:r>
        <w:rPr>
          <w:rFonts w:ascii="Courier New" w:cs="Courier New" w:eastAsia="Courier New" w:hAnsi="Courier New"/>
          <w:sz w:val="20"/>
          <w:szCs w:val="20"/>
          <w:shd w:fill="E8E8E8" w:color="auto" w:val="clear"/>
        </w:rPr>
        <w:t xml:space="preserve">_fetch_from_db()</w:t>
      </w:r>
      <w:r>
        <w:rPr>
          <w:sz w:val="22"/>
          <w:szCs w:val="22"/>
        </w:rPr>
        <w:t xml:space="preserve">. If the database row exists, it returns that data.</w:t>
      </w:r>
    </w:p>
    <w:p>
      <w:pPr>
        <w:pStyle w:val="Heading3"/>
        <w:spacing w:after="120" w:before="240"/>
      </w:pPr>
      <w:r>
        <w:rPr>
          <w:sz w:val="22"/>
          <w:szCs w:val="22"/>
        </w:rPr>
        <w:t xml:space="preserve">2. JSON file (fallback)</w:t>
      </w:r>
    </w:p>
    <w:p>
      <w:pPr>
        <w:spacing w:after="120" w:line="276"/>
      </w:pPr>
      <w:r>
        <w:rPr>
          <w:sz w:val="22"/>
          <w:szCs w:val="22"/>
        </w:rPr>
        <w:t xml:space="preserve">If the database is unavailable or has no row for the requested year, </w:t>
      </w:r>
      <w:r>
        <w:rPr>
          <w:rFonts w:ascii="Courier New" w:cs="Courier New" w:eastAsia="Courier New" w:hAnsi="Courier New"/>
          <w:sz w:val="20"/>
          <w:szCs w:val="20"/>
          <w:shd w:fill="E8E8E8" w:color="auto" w:val="clear"/>
        </w:rPr>
        <w:t xml:space="preserve">get_year_constants()</w:t>
      </w:r>
      <w:r>
        <w:rPr>
          <w:sz w:val="22"/>
          <w:szCs w:val="22"/>
        </w:rPr>
        <w:t xml:space="preserve"> falls back to </w:t>
      </w:r>
      <w:r>
        <w:rPr>
          <w:color w:val="2B579A"/>
          <w:sz w:val="22"/>
          <w:szCs w:val="22"/>
          <w:u w:val="single"/>
        </w:rPr>
        <w:t xml:space="preserve">tax_constants.json</w:t>
      </w:r>
      <w:r>
        <w:rPr>
          <w:sz w:val="22"/>
          <w:szCs w:val="22"/>
        </w:rPr>
        <w:t xml:space="preserve">. If the requested year is not in the JSON either, it uses the highest available year.</w:t>
      </w:r>
    </w:p>
    <w:p>
      <w:pPr>
        <w:pStyle w:val="Heading3"/>
        <w:spacing w:after="120" w:before="240"/>
      </w:pPr>
      <w:r>
        <w:rPr>
          <w:sz w:val="22"/>
          <w:szCs w:val="22"/>
        </w:rPr>
        <w:t xml:space="preserve">Seeding the database from JSON</w:t>
      </w:r>
    </w:p>
    <w:p>
      <w:pPr>
        <w:spacing w:after="120" w:line="276"/>
      </w:pPr>
      <w:r>
        <w:rPr>
          <w:sz w:val="22"/>
          <w:szCs w:val="22"/>
        </w:rPr>
        <w:t xml:space="preserve">The seed script </w:t>
      </w:r>
      <w:r>
        <w:rPr>
          <w:color w:val="2B579A"/>
          <w:sz w:val="22"/>
          <w:szCs w:val="22"/>
          <w:u w:val="single"/>
        </w:rPr>
        <w:t xml:space="preserve">auth-server/scripts/seed-tax-constants.js</w:t>
      </w:r>
      <w:r>
        <w:rPr>
          <w:sz w:val="22"/>
          <w:szCs w:val="22"/>
        </w:rPr>
        <w:t xml:space="preserve"> loads </w:t>
      </w:r>
      <w:r>
        <w:rPr>
          <w:rFonts w:ascii="Courier New" w:cs="Courier New" w:eastAsia="Courier New" w:hAnsi="Courier New"/>
          <w:sz w:val="20"/>
          <w:szCs w:val="20"/>
          <w:shd w:fill="E8E8E8" w:color="auto" w:val="clear"/>
        </w:rPr>
        <w:t xml:space="preserve">tax_constants.json</w:t>
      </w:r>
      <w:r>
        <w:rPr>
          <w:sz w:val="22"/>
          <w:szCs w:val="22"/>
        </w:rPr>
        <w:t xml:space="preserve"> into the </w:t>
      </w:r>
      <w:r>
        <w:rPr>
          <w:rFonts w:ascii="Courier New" w:cs="Courier New" w:eastAsia="Courier New" w:hAnsi="Courier New"/>
          <w:sz w:val="20"/>
          <w:szCs w:val="20"/>
          <w:shd w:fill="E8E8E8" w:color="auto" w:val="clear"/>
        </w:rPr>
        <w:t xml:space="preserve">TaxConstant</w:t>
      </w:r>
      <w:r>
        <w:rPr>
          <w:sz w:val="22"/>
          <w:szCs w:val="22"/>
        </w:rPr>
        <w:t xml:space="preserve"> table. It uses upsert, so it is safe to re-run:</w:t>
      </w:r>
    </w:p>
    <w:p>
      <w:pPr>
        <w:pBdr>
          <w:top w:val="single" w:color="D0D0D0" w:sz="1"/>
          <w:bottom w:val="single" w:color="D0D0D0" w:sz="1"/>
          <w:left w:val="single" w:color="D0D0D0" w:sz="1"/>
          <w:right w:val="single" w:color="D0D0D0" w:sz="1"/>
        </w:pBdr>
        <w:shd w:fill="F5F5F5" w:color="auto" w:val="clear"/>
        <w:spacing w:after="120"/>
        <w:ind w:left="360"/>
      </w:pPr>
      <w:r>
        <w:rPr>
          <w:rFonts w:ascii="Courier New" w:cs="Courier New" w:eastAsia="Courier New" w:hAnsi="Courier New"/>
          <w:sz w:val="18"/>
          <w:szCs w:val="18"/>
        </w:rPr>
        <w:t xml:space="preserve">node auth-server/scripts/seed-tax-constants.js</w:t>
      </w:r>
    </w:p>
    <w:p>
      <w:pPr>
        <w:pStyle w:val="Heading3"/>
        <w:spacing w:after="120" w:before="240"/>
      </w:pPr>
      <w:r>
        <w:rPr>
          <w:sz w:val="22"/>
          <w:szCs w:val="22"/>
        </w:rPr>
        <w:t xml:space="preserve">Frontend constants loading</w:t>
      </w:r>
    </w:p>
    <w:p>
      <w:pPr>
        <w:spacing w:after="120" w:line="276"/>
      </w:pPr>
      <w:r>
        <w:rPr>
          <w:sz w:val="22"/>
          <w:szCs w:val="22"/>
        </w:rPr>
        <w:t xml:space="preserve">The frontend fetches constants from the auth-server API, not from the JSON file:</w:t>
      </w:r>
    </w:p>
    <w:p>
      <w:pPr>
        <w:pStyle w:val="ListParagraph"/>
        <w:numPr>
          <w:ilvl w:val="0"/>
          <w:numId w:val="1"/>
        </w:numPr>
        <w:spacing w:after="60"/>
      </w:pPr>
      <w:r>
        <w:rPr>
          <w:b/>
          <w:bCs/>
          <w:sz w:val="22"/>
          <w:szCs w:val="22"/>
        </w:rPr>
        <w:t xml:space="preserve">Tax brackets:</w:t>
      </w:r>
      <w:r>
        <w:rPr>
          <w:sz w:val="22"/>
          <w:szCs w:val="22"/>
        </w:rPr>
        <w:t xml:space="preserve"> </w:t>
      </w:r>
      <w:r>
        <w:rPr>
          <w:rFonts w:ascii="Courier New" w:cs="Courier New" w:eastAsia="Courier New" w:hAnsi="Courier New"/>
          <w:sz w:val="20"/>
          <w:szCs w:val="20"/>
          <w:shd w:fill="E8E8E8" w:color="auto" w:val="clear"/>
        </w:rPr>
        <w:t xml:space="preserve">GET /tax-calc/:incomeOver/:province/:year</w:t>
      </w:r>
      <w:r>
        <w:rPr>
          <w:sz w:val="22"/>
          <w:szCs w:val="22"/>
        </w:rPr>
        <w:t xml:space="preserve"> — returns the</w:t>
      </w:r>
    </w:p>
    <w:p>
      <w:pPr>
        <w:spacing w:after="120" w:line="276"/>
      </w:pPr>
      <w:r>
        <w:rPr>
          <w:sz w:val="22"/>
          <w:szCs w:val="22"/>
        </w:rPr>
        <w:t xml:space="preserve">  matching bracket row (From, To, Basic, Rate, Income_over).</w:t>
      </w:r>
    </w:p>
    <w:p>
      <w:pPr>
        <w:pStyle w:val="ListParagraph"/>
        <w:numPr>
          <w:ilvl w:val="0"/>
          <w:numId w:val="1"/>
        </w:numPr>
        <w:spacing w:after="60"/>
      </w:pPr>
      <w:r>
        <w:rPr>
          <w:b/>
          <w:bCs/>
          <w:sz w:val="22"/>
          <w:szCs w:val="22"/>
        </w:rPr>
        <w:t xml:space="preserve">Dynamic values:</w:t>
      </w:r>
      <w:r>
        <w:rPr>
          <w:sz w:val="22"/>
          <w:szCs w:val="22"/>
        </w:rPr>
        <w:t xml:space="preserve"> </w:t>
      </w:r>
      <w:r>
        <w:rPr>
          <w:rFonts w:ascii="Courier New" w:cs="Courier New" w:eastAsia="Courier New" w:hAnsi="Courier New"/>
          <w:sz w:val="20"/>
          <w:szCs w:val="20"/>
          <w:shd w:fill="E8E8E8" w:color="auto" w:val="clear"/>
        </w:rPr>
        <w:t xml:space="preserve">GET /dynamic_values_by_year/:year/:province</w:t>
      </w:r>
      <w:r>
        <w:rPr>
          <w:sz w:val="22"/>
          <w:szCs w:val="22"/>
        </w:rPr>
        <w:t xml:space="preserve"> — returns</w:t>
      </w:r>
    </w:p>
    <w:p>
      <w:pPr>
        <w:spacing w:after="120" w:line="276"/>
      </w:pPr>
      <w:r>
        <w:rPr>
          <w:sz w:val="22"/>
          <w:szCs w:val="22"/>
        </w:rPr>
        <w:t xml:space="preserve">  the set of named constants for a province and year. The frontend calls this   twice (once for the province, once for </w:t>
      </w:r>
      <w:r>
        <w:rPr>
          <w:rFonts w:ascii="Courier New" w:cs="Courier New" w:eastAsia="Courier New" w:hAnsi="Courier New"/>
          <w:sz w:val="20"/>
          <w:szCs w:val="20"/>
          <w:shd w:fill="E8E8E8" w:color="auto" w:val="clear"/>
        </w:rPr>
        <w:t xml:space="preserve">"FED"</w:t>
      </w:r>
      <w:r>
        <w:rPr>
          <w:sz w:val="22"/>
          <w:szCs w:val="22"/>
        </w:rPr>
        <w:t xml:space="preserve">) and merges the results.</w:t>
      </w:r>
    </w:p>
    <w:p>
      <w:pPr>
        <w:pStyle w:val="ListParagraph"/>
        <w:numPr>
          <w:ilvl w:val="0"/>
          <w:numId w:val="1"/>
        </w:numPr>
        <w:spacing w:after="60"/>
      </w:pPr>
      <w:r>
        <w:rPr>
          <w:b/>
          <w:bCs/>
          <w:sz w:val="22"/>
          <w:szCs w:val="22"/>
        </w:rPr>
        <w:t xml:space="preserve">All bracket rows:</w:t>
      </w:r>
      <w:r>
        <w:rPr>
          <w:sz w:val="22"/>
          <w:szCs w:val="22"/>
        </w:rPr>
        <w:t xml:space="preserve"> </w:t>
      </w:r>
      <w:r>
        <w:rPr>
          <w:rFonts w:ascii="Courier New" w:cs="Courier New" w:eastAsia="Courier New" w:hAnsi="Courier New"/>
          <w:sz w:val="20"/>
          <w:szCs w:val="20"/>
          <w:shd w:fill="E8E8E8" w:color="auto" w:val="clear"/>
        </w:rPr>
        <w:t xml:space="preserve">GET /tax-calc-values-by-year/:year</w:t>
      </w:r>
      <w:r>
        <w:rPr>
          <w:sz w:val="22"/>
          <w:szCs w:val="22"/>
        </w:rPr>
        <w:t xml:space="preserve"> — returns every</w:t>
      </w:r>
    </w:p>
    <w:p>
      <w:pPr>
        <w:spacing w:after="120" w:line="276"/>
      </w:pPr>
      <w:r>
        <w:rPr>
          <w:sz w:val="22"/>
          <w:szCs w:val="22"/>
        </w:rPr>
        <w:t xml:space="preserve">  bracket row for a year.</w:t>
      </w:r>
    </w:p>
    <w:p>
      <w:pPr>
        <w:pStyle w:val="ListParagraph"/>
        <w:numPr>
          <w:ilvl w:val="0"/>
          <w:numId w:val="1"/>
        </w:numPr>
        <w:spacing w:after="60"/>
      </w:pPr>
      <w:r>
        <w:rPr>
          <w:b/>
          <w:bCs/>
          <w:sz w:val="22"/>
          <w:szCs w:val="22"/>
        </w:rPr>
        <w:t xml:space="preserve">Available years:</w:t>
      </w:r>
      <w:r>
        <w:rPr>
          <w:sz w:val="22"/>
          <w:szCs w:val="22"/>
        </w:rPr>
        <w:t xml:space="preserve"> </w:t>
      </w:r>
      <w:r>
        <w:rPr>
          <w:rFonts w:ascii="Courier New" w:cs="Courier New" w:eastAsia="Courier New" w:hAnsi="Courier New"/>
          <w:sz w:val="20"/>
          <w:szCs w:val="20"/>
          <w:shd w:fill="E8E8E8" w:color="auto" w:val="clear"/>
        </w:rPr>
        <w:t xml:space="preserve">GET /tax-calc-distinct-years</w:t>
      </w:r>
      <w:r>
        <w:rPr>
          <w:sz w:val="22"/>
          <w:szCs w:val="22"/>
        </w:rPr>
        <w:t xml:space="preserve"> — returns the list of</w:t>
      </w:r>
    </w:p>
    <w:p>
      <w:pPr>
        <w:spacing w:after="120" w:line="276"/>
      </w:pPr>
      <w:r>
        <w:rPr>
          <w:sz w:val="22"/>
          <w:szCs w:val="22"/>
        </w:rPr>
        <w:t xml:space="preserve">  years that have data.</w:t>
      </w:r>
    </w:p>
    <w:p>
      <w:pPr>
        <w:spacing w:after="120" w:line="276"/>
      </w:pPr>
      <w:r>
        <w:rPr>
          <w:sz w:val="22"/>
          <w:szCs w:val="22"/>
        </w:rPr>
        <w:t xml:space="preserve">These values are stored in the Redux store under </w:t>
      </w:r>
      <w:r>
        <w:rPr>
          <w:rFonts w:ascii="Courier New" w:cs="Courier New" w:eastAsia="Courier New" w:hAnsi="Courier New"/>
          <w:sz w:val="20"/>
          <w:szCs w:val="20"/>
          <w:shd w:fill="E8E8E8" w:color="auto" w:val="clear"/>
        </w:rPr>
        <w:t xml:space="preserve">dynamicValues.data</w:t>
      </w:r>
      <w:r>
        <w:rPr>
          <w:sz w:val="22"/>
          <w:szCs w:val="22"/>
        </w:rPr>
        <w:t xml:space="preserve"> and accessed by the formula functions via </w:t>
      </w:r>
      <w:r>
        <w:rPr>
          <w:rFonts w:ascii="Courier New" w:cs="Courier New" w:eastAsia="Courier New" w:hAnsi="Courier New"/>
          <w:sz w:val="20"/>
          <w:szCs w:val="20"/>
          <w:shd w:fill="E8E8E8" w:color="auto" w:val="clear"/>
        </w:rPr>
        <w:t xml:space="preserve">store.getState().dynamicValues.data</w:t>
      </w:r>
      <w:r>
        <w:rPr>
          <w:sz w:val="22"/>
          <w:szCs w:val="22"/>
        </w:rPr>
        <w:t xml:space="preserve">.</w:t>
      </w:r>
    </w:p>
    <w:p>
      <w:pPr>
        <w:pBdr>
          <w:bottom w:val="single" w:color="BFBFBF" w:sz="6"/>
        </w:pBdr>
        <w:spacing w:after="120" w:before="120"/>
      </w:pPr>
    </w:p>
    <w:p>
      <w:pPr>
        <w:pStyle w:val="Heading2"/>
        <w:spacing w:after="120" w:before="240"/>
      </w:pPr>
      <w:r>
        <w:rPr>
          <w:sz w:val="22"/>
          <w:szCs w:val="22"/>
        </w:rPr>
        <w:t xml:space="preserve">Tax calculation pipeline</w:t>
      </w:r>
    </w:p>
    <w:p>
      <w:pPr>
        <w:spacing w:after="120" w:line="276"/>
      </w:pPr>
      <w:r>
        <w:rPr>
          <w:sz w:val="22"/>
          <w:szCs w:val="22"/>
        </w:rPr>
        <w:t xml:space="preserve">Both the backend and frontend follow the same pipeline. The backend version in </w:t>
      </w:r>
      <w:r>
        <w:rPr>
          <w:rFonts w:ascii="Courier New" w:cs="Courier New" w:eastAsia="Courier New" w:hAnsi="Courier New"/>
          <w:sz w:val="20"/>
          <w:szCs w:val="20"/>
          <w:shd w:fill="E8E8E8" w:color="auto" w:val="clear"/>
        </w:rPr>
        <w:t xml:space="preserve">calculate_taxes()</w:t>
      </w:r>
      <w:r>
        <w:rPr>
          <w:sz w:val="22"/>
          <w:szCs w:val="22"/>
        </w:rPr>
        <w:t xml:space="preserve"> (</w:t>
      </w:r>
      <w:r>
        <w:rPr>
          <w:color w:val="2B579A"/>
          <w:sz w:val="22"/>
          <w:szCs w:val="22"/>
          <w:u w:val="single"/>
        </w:rPr>
        <w:t xml:space="preserve">tax.py:1342</w:t>
      </w:r>
      <w:r>
        <w:rPr>
          <w:sz w:val="22"/>
          <w:szCs w:val="22"/>
        </w:rPr>
        <w:t xml:space="preserve">) is the canonical reference:</w:t>
      </w:r>
    </w:p>
    <w:p>
      <w:pPr>
        <w:pStyle w:val="Heading3"/>
        <w:spacing w:after="120" w:before="240"/>
      </w:pPr>
      <w:r>
        <w:rPr>
          <w:sz w:val="22"/>
          <w:szCs w:val="22"/>
        </w:rPr>
        <w:t xml:space="preserve">1. Taxable income</w:t>
      </w:r>
    </w:p>
    <w:p>
      <w:pPr>
        <w:pBdr>
          <w:top w:val="single" w:color="D0D0D0" w:sz="1"/>
          <w:bottom w:val="single" w:color="D0D0D0" w:sz="1"/>
          <w:left w:val="single" w:color="D0D0D0" w:sz="1"/>
          <w:right w:val="single" w:color="D0D0D0" w:sz="1"/>
        </w:pBdr>
        <w:shd w:fill="F5F5F5" w:color="auto" w:val="clear"/>
        <w:spacing w:after="120"/>
        <w:ind w:left="360"/>
      </w:pPr>
      <w:r>
        <w:rPr>
          <w:rFonts w:ascii="Courier New" w:cs="Courier New" w:eastAsia="Courier New" w:hAnsi="Courier New"/>
          <w:sz w:val="18"/>
          <w:szCs w:val="18"/>
        </w:rPr>
        <w:t xml:space="preserve">taxable_income = employed + self_employed + other + support_received
                − deductible_support_paid
                − enhanced_cpp_deduction
                − child_care_deduction
                − other_deductions</w:t>
      </w:r>
    </w:p>
    <w:p>
      <w:pPr>
        <w:pStyle w:val="ListParagraph"/>
        <w:numPr>
          <w:ilvl w:val="0"/>
          <w:numId w:val="1"/>
        </w:numPr>
        <w:spacing w:after="60"/>
      </w:pPr>
      <w:r>
        <w:rPr>
          <w:b/>
          <w:bCs/>
          <w:sz w:val="22"/>
          <w:szCs w:val="22"/>
        </w:rPr>
        <w:t xml:space="preserve">Enhanced CPP deduction</w:t>
      </w:r>
      <w:r>
        <w:rPr>
          <w:sz w:val="22"/>
          <w:szCs w:val="22"/>
        </w:rPr>
        <w:t xml:space="preserve"> includes CPP1 enhanced (1% rate, capped) and CPP2</w:t>
      </w:r>
    </w:p>
    <w:p>
      <w:pPr>
        <w:spacing w:after="120" w:line="276"/>
      </w:pPr>
      <w:r>
        <w:rPr>
          <w:sz w:val="22"/>
          <w:szCs w:val="22"/>
        </w:rPr>
        <w:t xml:space="preserve">  (4% rate on earnings between the first and second ceilings).</w:t>
      </w:r>
    </w:p>
    <w:p>
      <w:pPr>
        <w:pStyle w:val="ListParagraph"/>
        <w:numPr>
          <w:ilvl w:val="0"/>
          <w:numId w:val="1"/>
        </w:numPr>
        <w:spacing w:after="60"/>
      </w:pPr>
      <w:r>
        <w:rPr>
          <w:b/>
          <w:bCs/>
          <w:sz w:val="22"/>
          <w:szCs w:val="22"/>
        </w:rPr>
        <w:t xml:space="preserve">Child care deduction</w:t>
      </w:r>
      <w:r>
        <w:rPr>
          <w:sz w:val="22"/>
          <w:szCs w:val="22"/>
        </w:rPr>
        <w:t xml:space="preserve"> is capped at </w:t>
      </w:r>
      <w:r>
        <w:rPr>
          <w:rFonts w:ascii="Courier New" w:cs="Courier New" w:eastAsia="Courier New" w:hAnsi="Courier New"/>
          <w:sz w:val="20"/>
          <w:szCs w:val="20"/>
          <w:shd w:fill="E8E8E8" w:color="auto" w:val="clear"/>
        </w:rPr>
        <w:t xml:space="preserve">min(employed_income × 2/3, expenses)</w:t>
      </w:r>
      <w:r>
        <w:rPr>
          <w:sz w:val="22"/>
          <w:szCs w:val="22"/>
        </w:rPr>
        <w:t xml:space="preserve">.</w:t>
      </w:r>
    </w:p>
    <w:p>
      <w:pPr>
        <w:pStyle w:val="Heading3"/>
        <w:spacing w:after="120" w:before="240"/>
      </w:pPr>
      <w:r>
        <w:rPr>
          <w:sz w:val="22"/>
          <w:szCs w:val="22"/>
        </w:rPr>
        <w:t xml:space="preserve">2. Child direction</w:t>
      </w:r>
    </w:p>
    <w:p>
      <w:pPr>
        <w:spacing w:after="120" w:line="276"/>
      </w:pPr>
      <w:r>
        <w:rPr>
          <w:sz w:val="22"/>
          <w:szCs w:val="22"/>
        </w:rPr>
        <w:t xml:space="preserve">Determines which party the children live with for credit/benefit purposes. Returns </w:t>
      </w:r>
      <w:r>
        <w:rPr>
          <w:rFonts w:ascii="Courier New" w:cs="Courier New" w:eastAsia="Courier New" w:hAnsi="Courier New"/>
          <w:sz w:val="20"/>
          <w:szCs w:val="20"/>
          <w:shd w:fill="E8E8E8" w:color="auto" w:val="clear"/>
        </w:rPr>
        <w:t xml:space="preserve">0</w:t>
      </w:r>
      <w:r>
        <w:rPr>
          <w:sz w:val="22"/>
          <w:szCs w:val="22"/>
        </w:rPr>
        <w:t xml:space="preserve"> (no children), </w:t>
      </w:r>
      <w:r>
        <w:rPr>
          <w:rFonts w:ascii="Courier New" w:cs="Courier New" w:eastAsia="Courier New" w:hAnsi="Courier New"/>
          <w:sz w:val="20"/>
          <w:szCs w:val="20"/>
          <w:shd w:fill="E8E8E8" w:color="auto" w:val="clear"/>
        </w:rPr>
        <w:t xml:space="preserve">1</w:t>
      </w:r>
      <w:r>
        <w:rPr>
          <w:sz w:val="22"/>
          <w:szCs w:val="22"/>
        </w:rPr>
        <w:t xml:space="preserve"> (with Party 1), </w:t>
      </w:r>
      <w:r>
        <w:rPr>
          <w:rFonts w:ascii="Courier New" w:cs="Courier New" w:eastAsia="Courier New" w:hAnsi="Courier New"/>
          <w:sz w:val="20"/>
          <w:szCs w:val="20"/>
          <w:shd w:fill="E8E8E8" w:color="auto" w:val="clear"/>
        </w:rPr>
        <w:t xml:space="preserve">2</w:t>
      </w:r>
      <w:r>
        <w:rPr>
          <w:sz w:val="22"/>
          <w:szCs w:val="22"/>
        </w:rPr>
        <w:t xml:space="preserve"> (with Party 2), or </w:t>
      </w:r>
      <w:r>
        <w:rPr>
          <w:rFonts w:ascii="Courier New" w:cs="Courier New" w:eastAsia="Courier New" w:hAnsi="Courier New"/>
          <w:sz w:val="20"/>
          <w:szCs w:val="20"/>
          <w:shd w:fill="E8E8E8" w:color="auto" w:val="clear"/>
        </w:rPr>
        <w:t xml:space="preserve">4</w:t>
      </w:r>
      <w:r>
        <w:rPr>
          <w:sz w:val="22"/>
          <w:szCs w:val="22"/>
        </w:rPr>
        <w:t xml:space="preserve"> (split). This affects eligible dependent credits and child benefit allocation.</w:t>
      </w:r>
    </w:p>
    <w:p>
      <w:pPr>
        <w:pStyle w:val="Heading3"/>
        <w:spacing w:after="120" w:before="240"/>
      </w:pPr>
      <w:r>
        <w:rPr>
          <w:sz w:val="22"/>
          <w:szCs w:val="22"/>
        </w:rPr>
        <w:t xml:space="preserve">3. Federal non-refundable credits</w:t>
      </w:r>
    </w:p>
    <w:p>
      <w:pPr>
        <w:spacing w:after="120" w:line="276"/>
      </w:pPr>
      <w:r>
        <w:rPr>
          <w:sz w:val="22"/>
          <w:szCs w:val="22"/>
        </w:rPr>
        <w:t xml:space="preserve">Sum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6E4F0" w:color="auto" w:val="clear"/>
          </w:tcPr>
          <w:p>
            <w:pPr>
              <w:spacing w:after="40" w:before="40"/>
            </w:pPr>
            <w:r>
              <w:rPr>
                <w:sz w:val="22"/>
                <w:szCs w:val="22"/>
              </w:rPr>
              <w:t xml:space="preserve">Credit</w:t>
            </w:r>
          </w:p>
        </w:tc>
        <w:tc>
          <w:tcPr>
            <w:tcW w:type="dxa" w:w="4680"/>
            <w:shd w:fill="D6E4F0" w:color="auto" w:val="clear"/>
          </w:tcPr>
          <w:p>
            <w:pPr>
              <w:spacing w:after="40" w:before="40"/>
            </w:pPr>
            <w:r>
              <w:rPr>
                <w:sz w:val="22"/>
                <w:szCs w:val="22"/>
              </w:rPr>
              <w:t xml:space="preserve">Description</w:t>
            </w:r>
          </w:p>
        </w:tc>
      </w:tr>
      <w:tr>
        <w:trPr>
          <w:tblHeader w:val="false"/>
        </w:trPr>
        <w:tc>
          <w:tcPr>
            <w:tcW w:type="dxa" w:w="4680"/>
            <w:shd w:fill="FFFFFF" w:color="auto" w:val="clear"/>
          </w:tcPr>
          <w:p>
            <w:pPr>
              <w:spacing w:after="40" w:before="40"/>
            </w:pPr>
            <w:r>
              <w:rPr>
                <w:sz w:val="22"/>
                <w:szCs w:val="22"/>
              </w:rPr>
              <w:t xml:space="preserve">Basic Personal Amount (BPA)</w:t>
            </w:r>
          </w:p>
        </w:tc>
        <w:tc>
          <w:tcPr>
            <w:tcW w:type="dxa" w:w="4680"/>
            <w:shd w:fill="FFFFFF" w:color="auto" w:val="clear"/>
          </w:tcPr>
          <w:p>
            <w:pPr>
              <w:spacing w:after="40" w:before="40"/>
            </w:pPr>
            <w:r>
              <w:rPr>
                <w:sz w:val="22"/>
                <w:szCs w:val="22"/>
              </w:rPr>
              <w:t xml:space="preserve">Income-tested; phases from full to minimum between 4th/5th bracket floors</w:t>
            </w:r>
          </w:p>
        </w:tc>
      </w:tr>
      <w:tr>
        <w:trPr>
          <w:tblHeader w:val="false"/>
        </w:trPr>
        <w:tc>
          <w:tcPr>
            <w:tcW w:type="dxa" w:w="4680"/>
            <w:shd w:fill="F2F2F2" w:color="auto" w:val="clear"/>
          </w:tcPr>
          <w:p>
            <w:pPr>
              <w:spacing w:after="40" w:before="40"/>
            </w:pPr>
            <w:r>
              <w:rPr>
                <w:sz w:val="22"/>
                <w:szCs w:val="22"/>
              </w:rPr>
              <w:t xml:space="preserve">Age amount</w:t>
            </w:r>
          </w:p>
        </w:tc>
        <w:tc>
          <w:tcPr>
            <w:tcW w:type="dxa" w:w="4680"/>
            <w:shd w:fill="F2F2F2" w:color="auto" w:val="clear"/>
          </w:tcPr>
          <w:p>
            <w:pPr>
              <w:spacing w:after="40" w:before="40"/>
            </w:pPr>
            <w:r>
              <w:rPr>
                <w:sz w:val="22"/>
                <w:szCs w:val="22"/>
              </w:rPr>
              <w:t xml:space="preserve">For age 65+; phases out at 15% above threshold</w:t>
            </w:r>
          </w:p>
        </w:tc>
      </w:tr>
      <w:tr>
        <w:trPr>
          <w:tblHeader w:val="false"/>
        </w:trPr>
        <w:tc>
          <w:tcPr>
            <w:tcW w:type="dxa" w:w="4680"/>
            <w:shd w:fill="FFFFFF" w:color="auto" w:val="clear"/>
          </w:tcPr>
          <w:p>
            <w:pPr>
              <w:spacing w:after="40" w:before="40"/>
            </w:pPr>
            <w:r>
              <w:rPr>
                <w:sz w:val="22"/>
                <w:szCs w:val="22"/>
              </w:rPr>
              <w:t xml:space="preserve">Eligible dependent</w:t>
            </w:r>
          </w:p>
        </w:tc>
        <w:tc>
          <w:tcPr>
            <w:tcW w:type="dxa" w:w="4680"/>
            <w:shd w:fill="FFFFFF" w:color="auto" w:val="clear"/>
          </w:tcPr>
          <w:p>
            <w:pPr>
              <w:spacing w:after="40" w:before="40"/>
            </w:pPr>
            <w:r>
              <w:rPr>
                <w:sz w:val="22"/>
                <w:szCs w:val="22"/>
              </w:rPr>
              <w:t xml:space="preserve">Equal to BPA; awarded to the party children live with</w:t>
            </w:r>
          </w:p>
        </w:tc>
      </w:tr>
      <w:tr>
        <w:trPr>
          <w:tblHeader w:val="false"/>
        </w:trPr>
        <w:tc>
          <w:tcPr>
            <w:tcW w:type="dxa" w:w="4680"/>
            <w:shd w:fill="F2F2F2" w:color="auto" w:val="clear"/>
          </w:tcPr>
          <w:p>
            <w:pPr>
              <w:spacing w:after="40" w:before="40"/>
            </w:pPr>
            <w:r>
              <w:rPr>
                <w:sz w:val="22"/>
                <w:szCs w:val="22"/>
              </w:rPr>
              <w:t xml:space="preserve">Base CPP contribution</w:t>
            </w:r>
          </w:p>
        </w:tc>
        <w:tc>
          <w:tcPr>
            <w:tcW w:type="dxa" w:w="4680"/>
            <w:shd w:fill="F2F2F2" w:color="auto" w:val="clear"/>
          </w:tcPr>
          <w:p>
            <w:pPr>
              <w:spacing w:after="40" w:before="40"/>
            </w:pPr>
            <w:r>
              <w:rPr>
                <w:rFonts w:ascii="Courier New" w:cs="Courier New" w:eastAsia="Courier New" w:hAnsi="Courier New"/>
                <w:sz w:val="20"/>
                <w:szCs w:val="20"/>
                <w:shd w:fill="E8E8E8" w:color="auto" w:val="clear"/>
              </w:rPr>
              <w:t xml:space="preserve">min((employed + self_employed − 3500) × 4.95%, limit)</w:t>
            </w:r>
          </w:p>
        </w:tc>
      </w:tr>
      <w:tr>
        <w:trPr>
          <w:tblHeader w:val="false"/>
        </w:trPr>
        <w:tc>
          <w:tcPr>
            <w:tcW w:type="dxa" w:w="4680"/>
            <w:shd w:fill="FFFFFF" w:color="auto" w:val="clear"/>
          </w:tcPr>
          <w:p>
            <w:pPr>
              <w:spacing w:after="40" w:before="40"/>
            </w:pPr>
            <w:r>
              <w:rPr>
                <w:sz w:val="22"/>
                <w:szCs w:val="22"/>
              </w:rPr>
              <w:t xml:space="preserve">EI premiums</w:t>
            </w:r>
          </w:p>
        </w:tc>
        <w:tc>
          <w:tcPr>
            <w:tcW w:type="dxa" w:w="4680"/>
            <w:shd w:fill="FFFFFF" w:color="auto" w:val="clear"/>
          </w:tcPr>
          <w:p>
            <w:pPr>
              <w:spacing w:after="40" w:before="40"/>
            </w:pPr>
            <w:r>
              <w:rPr>
                <w:rFonts w:ascii="Courier New" w:cs="Courier New" w:eastAsia="Courier New" w:hAnsi="Courier New"/>
                <w:sz w:val="20"/>
                <w:szCs w:val="20"/>
                <w:shd w:fill="E8E8E8" w:color="auto" w:val="clear"/>
              </w:rPr>
              <w:t xml:space="preserve">min(employed × EI rate, EI limit)</w:t>
            </w:r>
          </w:p>
        </w:tc>
      </w:tr>
      <w:tr>
        <w:trPr>
          <w:tblHeader w:val="false"/>
        </w:trPr>
        <w:tc>
          <w:tcPr>
            <w:tcW w:type="dxa" w:w="4680"/>
            <w:shd w:fill="F2F2F2" w:color="auto" w:val="clear"/>
          </w:tcPr>
          <w:p>
            <w:pPr>
              <w:spacing w:after="40" w:before="40"/>
            </w:pPr>
            <w:r>
              <w:rPr>
                <w:sz w:val="22"/>
                <w:szCs w:val="22"/>
              </w:rPr>
              <w:t xml:space="preserve">Canada employment amount</w:t>
            </w:r>
          </w:p>
        </w:tc>
        <w:tc>
          <w:tcPr>
            <w:tcW w:type="dxa" w:w="4680"/>
            <w:shd w:fill="F2F2F2" w:color="auto" w:val="clear"/>
          </w:tcPr>
          <w:p>
            <w:pPr>
              <w:spacing w:after="40" w:before="40"/>
            </w:pPr>
            <w:r>
              <w:rPr>
                <w:rFonts w:ascii="Courier New" w:cs="Courier New" w:eastAsia="Courier New" w:hAnsi="Courier New"/>
                <w:sz w:val="20"/>
                <w:szCs w:val="20"/>
                <w:shd w:fill="E8E8E8" w:color="auto" w:val="clear"/>
              </w:rPr>
              <w:t xml:space="preserve">min(limit, employed_income)</w:t>
            </w:r>
            <w:r>
              <w:rPr>
                <w:sz w:val="22"/>
                <w:szCs w:val="22"/>
              </w:rPr>
              <w:t xml:space="preserve"> for employed only</w:t>
            </w:r>
          </w:p>
        </w:tc>
      </w:tr>
      <w:tr>
        <w:trPr>
          <w:tblHeader w:val="false"/>
        </w:trPr>
        <w:tc>
          <w:tcPr>
            <w:tcW w:type="dxa" w:w="4680"/>
            <w:shd w:fill="FFFFFF" w:color="auto" w:val="clear"/>
          </w:tcPr>
          <w:p>
            <w:pPr>
              <w:spacing w:after="40" w:before="40"/>
            </w:pPr>
            <w:r>
              <w:rPr>
                <w:sz w:val="22"/>
                <w:szCs w:val="22"/>
              </w:rPr>
              <w:t xml:space="preserve">Disability amount</w:t>
            </w:r>
          </w:p>
        </w:tc>
        <w:tc>
          <w:tcPr>
            <w:tcW w:type="dxa" w:w="4680"/>
            <w:shd w:fill="FFFFFF" w:color="auto" w:val="clear"/>
          </w:tcPr>
          <w:p>
            <w:pPr>
              <w:spacing w:after="40" w:before="40"/>
            </w:pPr>
            <w:r>
              <w:rPr>
                <w:sz w:val="22"/>
                <w:szCs w:val="22"/>
              </w:rPr>
              <w:t xml:space="preserve">Fixed amount if eligible</w:t>
            </w:r>
          </w:p>
        </w:tc>
      </w:tr>
    </w:tbl>
    <w:p>
      <w:pPr>
        <w:spacing w:after="120"/>
      </w:pPr>
    </w:p>
    <w:p>
      <w:pPr>
        <w:pStyle w:val="Heading3"/>
        <w:spacing w:after="120" w:before="240"/>
      </w:pPr>
      <w:r>
        <w:rPr>
          <w:sz w:val="22"/>
          <w:szCs w:val="22"/>
        </w:rPr>
        <w:t xml:space="preserve">4. Provincial non-refundable credits</w:t>
      </w:r>
    </w:p>
    <w:p>
      <w:pPr>
        <w:spacing w:after="120" w:line="276"/>
      </w:pPr>
      <w:r>
        <w:rPr>
          <w:sz w:val="22"/>
          <w:szCs w:val="22"/>
        </w:rPr>
        <w:t xml:space="preserve">Same structure as federal but with province-specific amounts and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6E4F0" w:color="auto" w:val="clear"/>
          </w:tcPr>
          <w:p>
            <w:pPr>
              <w:spacing w:after="40" w:before="40"/>
            </w:pPr>
            <w:r>
              <w:rPr>
                <w:sz w:val="22"/>
                <w:szCs w:val="22"/>
              </w:rPr>
              <w:t xml:space="preserve">Province</w:t>
            </w:r>
          </w:p>
        </w:tc>
        <w:tc>
          <w:tcPr>
            <w:tcW w:type="dxa" w:w="3120"/>
            <w:shd w:fill="D6E4F0" w:color="auto" w:val="clear"/>
          </w:tcPr>
          <w:p>
            <w:pPr>
              <w:spacing w:after="40" w:before="40"/>
            </w:pPr>
            <w:r>
              <w:rPr>
                <w:sz w:val="22"/>
                <w:szCs w:val="22"/>
              </w:rPr>
              <w:t xml:space="preserve">Credit rate</w:t>
            </w:r>
          </w:p>
        </w:tc>
        <w:tc>
          <w:tcPr>
            <w:tcW w:type="dxa" w:w="3120"/>
            <w:shd w:fill="D6E4F0" w:color="auto" w:val="clear"/>
          </w:tcPr>
          <w:p>
            <w:pPr>
              <w:spacing w:after="40" w:before="40"/>
            </w:pPr>
            <w:r>
              <w:rPr>
                <w:sz w:val="22"/>
                <w:szCs w:val="22"/>
              </w:rPr>
              <w:t xml:space="preserve">Notable differences</w:t>
            </w:r>
          </w:p>
        </w:tc>
      </w:tr>
      <w:tr>
        <w:trPr>
          <w:tblHeader w:val="false"/>
        </w:trPr>
        <w:tc>
          <w:tcPr>
            <w:tcW w:type="dxa" w:w="3120"/>
            <w:shd w:fill="FFFFFF" w:color="auto" w:val="clear"/>
          </w:tcPr>
          <w:p>
            <w:pPr>
              <w:spacing w:after="40" w:before="40"/>
            </w:pPr>
            <w:r>
              <w:rPr>
                <w:b/>
                <w:bCs/>
                <w:sz w:val="22"/>
                <w:szCs w:val="22"/>
              </w:rPr>
              <w:t xml:space="preserve">ON</w:t>
            </w:r>
          </w:p>
        </w:tc>
        <w:tc>
          <w:tcPr>
            <w:tcW w:type="dxa" w:w="3120"/>
            <w:shd w:fill="FFFFFF" w:color="auto" w:val="clear"/>
          </w:tcPr>
          <w:p>
            <w:pPr>
              <w:spacing w:after="40" w:before="40"/>
            </w:pPr>
            <w:r>
              <w:rPr>
                <w:sz w:val="22"/>
                <w:szCs w:val="22"/>
              </w:rPr>
              <w:t xml:space="preserve">5.05%</w:t>
            </w:r>
          </w:p>
        </w:tc>
        <w:tc>
          <w:tcPr>
            <w:tcW w:type="dxa" w:w="3120"/>
            <w:shd w:fill="FFFFFF" w:color="auto" w:val="clear"/>
          </w:tcPr>
          <w:p>
            <w:pPr>
              <w:spacing w:after="40" w:before="40"/>
            </w:pPr>
            <w:r>
              <w:rPr>
                <w:sz w:val="22"/>
                <w:szCs w:val="22"/>
              </w:rPr>
              <w:t xml:space="preserve">Ontario-specific eligible dependent amount, ON age amount</w:t>
            </w:r>
          </w:p>
        </w:tc>
      </w:tr>
      <w:tr>
        <w:trPr>
          <w:tblHeader w:val="false"/>
        </w:trPr>
        <w:tc>
          <w:tcPr>
            <w:tcW w:type="dxa" w:w="3120"/>
            <w:shd w:fill="F2F2F2" w:color="auto" w:val="clear"/>
          </w:tcPr>
          <w:p>
            <w:pPr>
              <w:spacing w:after="40" w:before="40"/>
            </w:pPr>
            <w:r>
              <w:rPr>
                <w:b/>
                <w:bCs/>
                <w:sz w:val="22"/>
                <w:szCs w:val="22"/>
              </w:rPr>
              <w:t xml:space="preserve">BC</w:t>
            </w:r>
          </w:p>
        </w:tc>
        <w:tc>
          <w:tcPr>
            <w:tcW w:type="dxa" w:w="3120"/>
            <w:shd w:fill="F2F2F2" w:color="auto" w:val="clear"/>
          </w:tcPr>
          <w:p>
            <w:pPr>
              <w:spacing w:after="40" w:before="40"/>
            </w:pPr>
            <w:r>
              <w:rPr>
                <w:sz w:val="22"/>
                <w:szCs w:val="22"/>
              </w:rPr>
              <w:t xml:space="preserve">5.06%</w:t>
            </w:r>
          </w:p>
        </w:tc>
        <w:tc>
          <w:tcPr>
            <w:tcW w:type="dxa" w:w="3120"/>
            <w:shd w:fill="F2F2F2" w:color="auto" w:val="clear"/>
          </w:tcPr>
          <w:p>
            <w:pPr>
              <w:spacing w:after="40" w:before="40"/>
            </w:pPr>
            <w:r>
              <w:rPr>
                <w:sz w:val="22"/>
                <w:szCs w:val="22"/>
              </w:rPr>
              <w:t xml:space="preserve">BC-specific amounts, BC age amount</w:t>
            </w:r>
          </w:p>
        </w:tc>
      </w:tr>
      <w:tr>
        <w:trPr>
          <w:tblHeader w:val="false"/>
        </w:trPr>
        <w:tc>
          <w:tcPr>
            <w:tcW w:type="dxa" w:w="3120"/>
            <w:shd w:fill="FFFFFF" w:color="auto" w:val="clear"/>
          </w:tcPr>
          <w:p>
            <w:pPr>
              <w:spacing w:after="40" w:before="40"/>
            </w:pPr>
            <w:r>
              <w:rPr>
                <w:b/>
                <w:bCs/>
                <w:sz w:val="22"/>
                <w:szCs w:val="22"/>
              </w:rPr>
              <w:t xml:space="preserve">AB</w:t>
            </w:r>
          </w:p>
        </w:tc>
        <w:tc>
          <w:tcPr>
            <w:tcW w:type="dxa" w:w="3120"/>
            <w:shd w:fill="FFFFFF" w:color="auto" w:val="clear"/>
          </w:tcPr>
          <w:p>
            <w:pPr>
              <w:spacing w:after="40" w:before="40"/>
            </w:pPr>
            <w:r>
              <w:rPr>
                <w:sz w:val="22"/>
                <w:szCs w:val="22"/>
              </w:rPr>
              <w:t xml:space="preserve">8.00%</w:t>
            </w:r>
          </w:p>
        </w:tc>
        <w:tc>
          <w:tcPr>
            <w:tcW w:type="dxa" w:w="3120"/>
            <w:shd w:fill="FFFFFF" w:color="auto" w:val="clear"/>
          </w:tcPr>
          <w:p>
            <w:pPr>
              <w:spacing w:after="40" w:before="40"/>
            </w:pPr>
            <w:r>
              <w:rPr>
                <w:sz w:val="22"/>
                <w:szCs w:val="22"/>
              </w:rPr>
              <w:t xml:space="preserve">Alberta-specific amounts, AB age amount</w:t>
            </w:r>
          </w:p>
        </w:tc>
      </w:tr>
      <w:tr>
        <w:trPr>
          <w:tblHeader w:val="false"/>
        </w:trPr>
        <w:tc>
          <w:tcPr>
            <w:tcW w:type="dxa" w:w="3120"/>
            <w:shd w:fill="F2F2F2" w:color="auto" w:val="clear"/>
          </w:tcPr>
          <w:p>
            <w:pPr>
              <w:spacing w:after="40" w:before="40"/>
            </w:pPr>
            <w:r>
              <w:rPr>
                <w:b/>
                <w:bCs/>
                <w:sz w:val="22"/>
                <w:szCs w:val="22"/>
              </w:rPr>
              <w:t xml:space="preserve">SK</w:t>
            </w:r>
          </w:p>
        </w:tc>
        <w:tc>
          <w:tcPr>
            <w:tcW w:type="dxa" w:w="3120"/>
            <w:shd w:fill="F2F2F2" w:color="auto" w:val="clear"/>
          </w:tcPr>
          <w:p>
            <w:pPr>
              <w:spacing w:after="40" w:before="40"/>
            </w:pPr>
            <w:r>
              <w:rPr>
                <w:sz w:val="22"/>
                <w:szCs w:val="22"/>
              </w:rPr>
              <w:t xml:space="preserve">10.5%</w:t>
            </w:r>
          </w:p>
        </w:tc>
        <w:tc>
          <w:tcPr>
            <w:tcW w:type="dxa" w:w="3120"/>
            <w:shd w:fill="F2F2F2" w:color="auto" w:val="clear"/>
          </w:tcPr>
          <w:p>
            <w:pPr>
              <w:spacing w:after="40" w:before="40"/>
            </w:pPr>
            <w:r>
              <w:rPr>
                <w:sz w:val="22"/>
                <w:szCs w:val="22"/>
              </w:rPr>
              <w:t xml:space="preserve">SK child amount ($7,704/child under 19), senior supplement</w:t>
            </w:r>
          </w:p>
        </w:tc>
      </w:tr>
      <w:tr>
        <w:trPr>
          <w:tblHeader w:val="false"/>
        </w:trPr>
        <w:tc>
          <w:tcPr>
            <w:tcW w:type="dxa" w:w="3120"/>
            <w:shd w:fill="FFFFFF" w:color="auto" w:val="clear"/>
          </w:tcPr>
          <w:p>
            <w:pPr>
              <w:spacing w:after="40" w:before="40"/>
            </w:pPr>
            <w:r>
              <w:rPr>
                <w:b/>
                <w:bCs/>
                <w:sz w:val="22"/>
                <w:szCs w:val="22"/>
              </w:rPr>
              <w:t xml:space="preserve">MB</w:t>
            </w:r>
          </w:p>
        </w:tc>
        <w:tc>
          <w:tcPr>
            <w:tcW w:type="dxa" w:w="3120"/>
            <w:shd w:fill="FFFFFF" w:color="auto" w:val="clear"/>
          </w:tcPr>
          <w:p>
            <w:pPr>
              <w:spacing w:after="40" w:before="40"/>
            </w:pPr>
            <w:r>
              <w:rPr>
                <w:sz w:val="22"/>
                <w:szCs w:val="22"/>
              </w:rPr>
              <w:t xml:space="preserve">10.8%</w:t>
            </w:r>
          </w:p>
        </w:tc>
        <w:tc>
          <w:tcPr>
            <w:tcW w:type="dxa" w:w="3120"/>
            <w:shd w:fill="FFFFFF" w:color="auto" w:val="clear"/>
          </w:tcPr>
          <w:p>
            <w:pPr>
              <w:spacing w:after="40" w:before="40"/>
            </w:pPr>
            <w:r>
              <w:rPr>
                <w:sz w:val="22"/>
                <w:szCs w:val="22"/>
              </w:rPr>
              <w:t xml:space="preserve">BPA phases out between $200k–$400k net income</w:t>
            </w:r>
          </w:p>
        </w:tc>
      </w:tr>
    </w:tbl>
    <w:p>
      <w:pPr>
        <w:spacing w:after="120"/>
      </w:pPr>
    </w:p>
    <w:p>
      <w:pPr>
        <w:pStyle w:val="Heading3"/>
        <w:spacing w:after="120" w:before="240"/>
      </w:pPr>
      <w:r>
        <w:rPr>
          <w:sz w:val="22"/>
          <w:szCs w:val="22"/>
        </w:rPr>
        <w:t xml:space="preserve">5. Federal tax</w:t>
      </w:r>
    </w:p>
    <w:p>
      <w:pPr>
        <w:pBdr>
          <w:top w:val="single" w:color="D0D0D0" w:sz="1"/>
          <w:bottom w:val="single" w:color="D0D0D0" w:sz="1"/>
          <w:left w:val="single" w:color="D0D0D0" w:sz="1"/>
          <w:right w:val="single" w:color="D0D0D0" w:sz="1"/>
        </w:pBdr>
        <w:shd w:fill="F5F5F5" w:color="auto" w:val="clear"/>
        <w:spacing w:after="120"/>
        <w:ind w:left="360"/>
      </w:pPr>
      <w:r>
        <w:rPr>
          <w:rFonts w:ascii="Courier New" w:cs="Courier New" w:eastAsia="Courier New" w:hAnsi="Courier New"/>
          <w:sz w:val="18"/>
          <w:szCs w:val="18"/>
        </w:rPr>
        <w:t xml:space="preserve">federal_tax = max(bracket_tax − total_federal_credits × credit_rate, 0)</w:t>
      </w:r>
    </w:p>
    <w:p>
      <w:pPr>
        <w:spacing w:after="120" w:line="276"/>
      </w:pPr>
      <w:r>
        <w:rPr>
          <w:sz w:val="22"/>
          <w:szCs w:val="22"/>
        </w:rPr>
        <w:t xml:space="preserve">Where </w:t>
      </w:r>
      <w:r>
        <w:rPr>
          <w:rFonts w:ascii="Courier New" w:cs="Courier New" w:eastAsia="Courier New" w:hAnsi="Courier New"/>
          <w:sz w:val="20"/>
          <w:szCs w:val="20"/>
          <w:shd w:fill="E8E8E8" w:color="auto" w:val="clear"/>
        </w:rPr>
        <w:t xml:space="preserve">bracket_tax = Basic + (taxable_income − Income_over) × Rate</w:t>
      </w:r>
      <w:r>
        <w:rPr>
          <w:sz w:val="22"/>
          <w:szCs w:val="22"/>
        </w:rPr>
        <w:t xml:space="preserve"> from the matching federal bracket row.</w:t>
      </w:r>
    </w:p>
    <w:p>
      <w:pPr>
        <w:pStyle w:val="Heading3"/>
        <w:spacing w:after="120" w:before="240"/>
      </w:pPr>
      <w:r>
        <w:rPr>
          <w:sz w:val="22"/>
          <w:szCs w:val="22"/>
        </w:rPr>
        <w:t xml:space="preserve">6. Provincial tax</w:t>
      </w:r>
    </w:p>
    <w:p>
      <w:pPr>
        <w:spacing w:after="120" w:line="276"/>
      </w:pPr>
      <w:r>
        <w:rPr>
          <w:sz w:val="22"/>
          <w:szCs w:val="22"/>
        </w:rPr>
        <w:t xml:space="preserve">Each province has its own pipeline:</w:t>
      </w:r>
    </w:p>
    <w:p>
      <w:pPr>
        <w:spacing w:after="120" w:line="276"/>
      </w:pPr>
      <w:r>
        <w:rPr>
          <w:b/>
          <w:bCs/>
          <w:sz w:val="22"/>
          <w:szCs w:val="22"/>
        </w:rPr>
        <w:t xml:space="preserve">Ontario:</w:t>
      </w:r>
    </w:p>
    <w:p>
      <w:pPr>
        <w:spacing w:after="60"/>
        <w:ind w:left="360"/>
      </w:pPr>
      <w:r>
        <w:rPr>
          <w:sz w:val="22"/>
          <w:szCs w:val="22"/>
        </w:rPr>
        <w:t xml:space="preserve">1. Basic ON tax = </w:t>
      </w:r>
      <w:r>
        <w:rPr>
          <w:rFonts w:ascii="Courier New" w:cs="Courier New" w:eastAsia="Courier New" w:hAnsi="Courier New"/>
          <w:sz w:val="20"/>
          <w:szCs w:val="20"/>
          <w:shd w:fill="E8E8E8" w:color="auto" w:val="clear"/>
        </w:rPr>
        <w:t xml:space="preserve">bracket_tax − credits × 5.05%</w:t>
      </w:r>
    </w:p>
    <w:p>
      <w:pPr>
        <w:spacing w:after="60"/>
        <w:ind w:left="360"/>
      </w:pPr>
      <w:r>
        <w:rPr>
          <w:sz w:val="22"/>
          <w:szCs w:val="22"/>
        </w:rPr>
        <w:t xml:space="preserve">2. \+ Ontario surtax: </w:t>
      </w:r>
      <w:r>
        <w:rPr>
          <w:rFonts w:ascii="Courier New" w:cs="Courier New" w:eastAsia="Courier New" w:hAnsi="Courier New"/>
          <w:sz w:val="20"/>
          <w:szCs w:val="20"/>
          <w:shd w:fill="E8E8E8" w:color="auto" w:val="clear"/>
        </w:rPr>
        <w:t xml:space="preserve">20% × max(tax − threshold_1, 0) + 36% × max(tax − threshold_2, 0)</w:t>
      </w:r>
    </w:p>
    <w:p>
      <w:pPr>
        <w:spacing w:after="60"/>
        <w:ind w:left="360"/>
      </w:pPr>
      <w:r>
        <w:rPr>
          <w:sz w:val="22"/>
          <w:szCs w:val="22"/>
        </w:rPr>
        <w:t xml:space="preserve">3. − Ontario tax reduction: </w:t>
      </w:r>
      <w:r>
        <w:rPr>
          <w:rFonts w:ascii="Courier New" w:cs="Courier New" w:eastAsia="Courier New" w:hAnsi="Courier New"/>
          <w:sz w:val="20"/>
          <w:szCs w:val="20"/>
          <w:shd w:fill="E8E8E8" w:color="auto" w:val="clear"/>
        </w:rPr>
        <w:t xml:space="preserve">max(2 × (base + dep_add) − tax_with_surtax, 0)</w:t>
      </w:r>
    </w:p>
    <w:p>
      <w:pPr>
        <w:spacing w:after="60"/>
        <w:ind w:left="360"/>
      </w:pPr>
      <w:r>
        <w:rPr>
          <w:sz w:val="22"/>
          <w:szCs w:val="22"/>
        </w:rPr>
        <w:t xml:space="preserve">4. − LIFT credit: </w:t>
      </w:r>
      <w:r>
        <w:rPr>
          <w:rFonts w:ascii="Courier New" w:cs="Courier New" w:eastAsia="Courier New" w:hAnsi="Courier New"/>
          <w:sz w:val="20"/>
          <w:szCs w:val="20"/>
          <w:shd w:fill="E8E8E8" w:color="auto" w:val="clear"/>
        </w:rPr>
        <w:t xml:space="preserve">max(min(employed × 5.05%, max_lift) − max(taxable − threshold, 0) × 5%, 0)</w:t>
      </w:r>
    </w:p>
    <w:p>
      <w:pPr>
        <w:spacing w:after="60"/>
        <w:ind w:left="360"/>
      </w:pPr>
      <w:r>
        <w:rPr>
          <w:sz w:val="22"/>
          <w:szCs w:val="22"/>
        </w:rPr>
        <w:t xml:space="preserve">5. \+ Ontario Health Premium (stepped bracket table, unchanged since 2004)</w:t>
      </w:r>
    </w:p>
    <w:p>
      <w:pPr>
        <w:spacing w:after="120" w:line="276"/>
      </w:pPr>
      <w:r>
        <w:rPr>
          <w:b/>
          <w:bCs/>
          <w:sz w:val="22"/>
          <w:szCs w:val="22"/>
        </w:rPr>
        <w:t xml:space="preserve">British Columbia:</w:t>
      </w:r>
    </w:p>
    <w:p>
      <w:pPr>
        <w:spacing w:after="60"/>
        <w:ind w:left="360"/>
      </w:pPr>
      <w:r>
        <w:rPr>
          <w:sz w:val="22"/>
          <w:szCs w:val="22"/>
        </w:rPr>
        <w:t xml:space="preserve">1. Basic BC tax = </w:t>
      </w:r>
      <w:r>
        <w:rPr>
          <w:rFonts w:ascii="Courier New" w:cs="Courier New" w:eastAsia="Courier New" w:hAnsi="Courier New"/>
          <w:sz w:val="20"/>
          <w:szCs w:val="20"/>
          <w:shd w:fill="E8E8E8" w:color="auto" w:val="clear"/>
        </w:rPr>
        <w:t xml:space="preserve">bracket_tax − credits × 5.06%</w:t>
      </w:r>
    </w:p>
    <w:p>
      <w:pPr>
        <w:spacing w:after="60"/>
        <w:ind w:left="360"/>
      </w:pPr>
      <w:r>
        <w:rPr>
          <w:sz w:val="22"/>
          <w:szCs w:val="22"/>
        </w:rPr>
        <w:t xml:space="preserve">2. − BC tax reduction (income-tested, zeroed above eligibility threshold)</w:t>
      </w:r>
    </w:p>
    <w:p>
      <w:pPr>
        <w:spacing w:after="60"/>
        <w:ind w:left="360"/>
      </w:pPr>
      <w:r>
        <w:rPr>
          <w:sz w:val="22"/>
          <w:szCs w:val="22"/>
        </w:rPr>
        <w:t xml:space="preserve">3. No surtax, no health premium, no LIFT</w:t>
      </w:r>
    </w:p>
    <w:p>
      <w:pPr>
        <w:spacing w:after="120" w:line="276"/>
      </w:pPr>
      <w:r>
        <w:rPr>
          <w:b/>
          <w:bCs/>
          <w:sz w:val="22"/>
          <w:szCs w:val="22"/>
        </w:rPr>
        <w:t xml:space="preserve">Alberta:</w:t>
      </w:r>
    </w:p>
    <w:p>
      <w:pPr>
        <w:spacing w:after="60"/>
        <w:ind w:left="360"/>
      </w:pPr>
      <w:r>
        <w:rPr>
          <w:sz w:val="22"/>
          <w:szCs w:val="22"/>
        </w:rPr>
        <w:t xml:space="preserve">1. Basic AB tax = </w:t>
      </w:r>
      <w:r>
        <w:rPr>
          <w:rFonts w:ascii="Courier New" w:cs="Courier New" w:eastAsia="Courier New" w:hAnsi="Courier New"/>
          <w:sz w:val="20"/>
          <w:szCs w:val="20"/>
          <w:shd w:fill="E8E8E8" w:color="auto" w:val="clear"/>
        </w:rPr>
        <w:t xml:space="preserve">bracket_tax − credits × 8%</w:t>
      </w:r>
    </w:p>
    <w:p>
      <w:pPr>
        <w:spacing w:after="60"/>
        <w:ind w:left="360"/>
      </w:pPr>
      <w:r>
        <w:rPr>
          <w:sz w:val="22"/>
          <w:szCs w:val="22"/>
        </w:rPr>
        <w:t xml:space="preserve">2. No surtax, no health premium, no LIFT, no tax reduction</w:t>
      </w:r>
    </w:p>
    <w:p>
      <w:pPr>
        <w:spacing w:after="120" w:line="276"/>
      </w:pPr>
      <w:r>
        <w:rPr>
          <w:b/>
          <w:bCs/>
          <w:sz w:val="22"/>
          <w:szCs w:val="22"/>
        </w:rPr>
        <w:t xml:space="preserve">Saskatchewan:</w:t>
      </w:r>
    </w:p>
    <w:p>
      <w:pPr>
        <w:spacing w:after="60"/>
        <w:ind w:left="360"/>
      </w:pPr>
      <w:r>
        <w:rPr>
          <w:sz w:val="22"/>
          <w:szCs w:val="22"/>
        </w:rPr>
        <w:t xml:space="preserve">1. Basic SK tax = </w:t>
      </w:r>
      <w:r>
        <w:rPr>
          <w:rFonts w:ascii="Courier New" w:cs="Courier New" w:eastAsia="Courier New" w:hAnsi="Courier New"/>
          <w:sz w:val="20"/>
          <w:szCs w:val="20"/>
          <w:shd w:fill="E8E8E8" w:color="auto" w:val="clear"/>
        </w:rPr>
        <w:t xml:space="preserve">bracket_tax − credits × 10.5%</w:t>
      </w:r>
    </w:p>
    <w:p>
      <w:pPr>
        <w:spacing w:after="60"/>
        <w:ind w:left="360"/>
      </w:pPr>
      <w:r>
        <w:rPr>
          <w:sz w:val="22"/>
          <w:szCs w:val="22"/>
        </w:rPr>
        <w:t xml:space="preserve">2. No surtax, no health premium, no LIFT, no tax reduction</w:t>
      </w:r>
    </w:p>
    <w:p>
      <w:pPr>
        <w:spacing w:after="120" w:line="276"/>
      </w:pPr>
      <w:r>
        <w:rPr>
          <w:b/>
          <w:bCs/>
          <w:sz w:val="22"/>
          <w:szCs w:val="22"/>
        </w:rPr>
        <w:t xml:space="preserve">Manitoba:</w:t>
      </w:r>
    </w:p>
    <w:p>
      <w:pPr>
        <w:spacing w:after="60"/>
        <w:ind w:left="360"/>
      </w:pPr>
      <w:r>
        <w:rPr>
          <w:sz w:val="22"/>
          <w:szCs w:val="22"/>
        </w:rPr>
        <w:t xml:space="preserve">1. Basic MB tax = </w:t>
      </w:r>
      <w:r>
        <w:rPr>
          <w:rFonts w:ascii="Courier New" w:cs="Courier New" w:eastAsia="Courier New" w:hAnsi="Courier New"/>
          <w:sz w:val="20"/>
          <w:szCs w:val="20"/>
          <w:shd w:fill="E8E8E8" w:color="auto" w:val="clear"/>
        </w:rPr>
        <w:t xml:space="preserve">bracket_tax − credits × 10.8%</w:t>
      </w:r>
    </w:p>
    <w:p>
      <w:pPr>
        <w:spacing w:after="60"/>
        <w:ind w:left="360"/>
      </w:pPr>
      <w:r>
        <w:rPr>
          <w:sz w:val="22"/>
          <w:szCs w:val="22"/>
        </w:rPr>
        <w:t xml:space="preserve">2. No surtax, no health premium, no LIFT, no tax reduction</w:t>
      </w:r>
    </w:p>
    <w:p>
      <w:pPr>
        <w:spacing w:after="60"/>
        <w:ind w:left="360"/>
      </w:pPr>
      <w:r>
        <w:rPr>
          <w:sz w:val="22"/>
          <w:szCs w:val="22"/>
        </w:rPr>
        <w:t xml:space="preserve">3. BPA phases out for high income ($200k–$400k)</w:t>
      </w:r>
    </w:p>
    <w:p>
      <w:pPr>
        <w:pStyle w:val="Heading3"/>
        <w:spacing w:after="120" w:before="240"/>
      </w:pPr>
      <w:r>
        <w:rPr>
          <w:sz w:val="22"/>
          <w:szCs w:val="22"/>
        </w:rPr>
        <w:t xml:space="preserve">7. CPP/EI payroll deductions</w:t>
      </w:r>
    </w:p>
    <w:p>
      <w:pPr>
        <w:spacing w:after="120" w:line="276"/>
      </w:pPr>
      <w:r>
        <w:rPr>
          <w:sz w:val="22"/>
          <w:szCs w:val="22"/>
        </w:rPr>
        <w:t xml:space="preserve">Cash outflows: </w:t>
      </w:r>
      <w:r>
        <w:rPr>
          <w:rFonts w:ascii="Courier New" w:cs="Courier New" w:eastAsia="Courier New" w:hAnsi="Courier New"/>
          <w:sz w:val="20"/>
          <w:szCs w:val="20"/>
          <w:shd w:fill="E8E8E8" w:color="auto" w:val="clear"/>
        </w:rPr>
        <w:t xml:space="preserve">EI + base_CPP + enhanced_CPP_deduction</w:t>
      </w:r>
      <w:r>
        <w:rPr>
          <w:sz w:val="22"/>
          <w:szCs w:val="22"/>
        </w:rPr>
        <w:t xml:space="preserve">. These reduce take-home pay but are not part of the bracket tax.</w:t>
      </w:r>
    </w:p>
    <w:p>
      <w:pPr>
        <w:pStyle w:val="Heading3"/>
        <w:spacing w:after="120" w:before="240"/>
      </w:pPr>
      <w:r>
        <w:rPr>
          <w:sz w:val="22"/>
          <w:szCs w:val="22"/>
        </w:rPr>
        <w:t xml:space="preserve">8. Canada Workers Benefit (CWB)</w:t>
      </w:r>
    </w:p>
    <w:p>
      <w:pPr>
        <w:spacing w:after="120" w:line="276"/>
      </w:pPr>
      <w:r>
        <w:rPr>
          <w:sz w:val="22"/>
          <w:szCs w:val="22"/>
        </w:rPr>
        <w:t xml:space="preserve">Refundable tax credit. Uses province-specific thresholds and maximums (BC, AB have different values from the federal defaults). BC also has a CWB supplement (currently excluded from the main calculation — see comment in tax.py).</w:t>
      </w:r>
    </w:p>
    <w:p>
      <w:pPr>
        <w:pStyle w:val="Heading3"/>
        <w:spacing w:after="120" w:before="240"/>
      </w:pPr>
      <w:r>
        <w:rPr>
          <w:sz w:val="22"/>
          <w:szCs w:val="22"/>
        </w:rPr>
        <w:t xml:space="preserve">9. Provincial child-care credit adjustment</w:t>
      </w:r>
    </w:p>
    <w:p>
      <w:pPr>
        <w:spacing w:after="120" w:line="276"/>
      </w:pPr>
      <w:r>
        <w:rPr>
          <w:sz w:val="22"/>
          <w:szCs w:val="22"/>
        </w:rPr>
        <w:t xml:space="preserve">Ontario only: an additional child-care credit based on income-dependent rates from the </w:t>
      </w:r>
      <w:r>
        <w:rPr>
          <w:rFonts w:ascii="Courier New" w:cs="Courier New" w:eastAsia="Courier New" w:hAnsi="Courier New"/>
          <w:sz w:val="20"/>
          <w:szCs w:val="20"/>
          <w:shd w:fill="E8E8E8" w:color="auto" w:val="clear"/>
        </w:rPr>
        <w:t xml:space="preserve">ON_CARE_RATES</w:t>
      </w:r>
      <w:r>
        <w:rPr>
          <w:sz w:val="22"/>
          <w:szCs w:val="22"/>
        </w:rPr>
        <w:t xml:space="preserve"> table. BC, AB, SK, and MB have no provincial child-care credit.</w:t>
      </w:r>
    </w:p>
    <w:p>
      <w:pPr>
        <w:pStyle w:val="Heading3"/>
        <w:spacing w:after="120" w:before="240"/>
      </w:pPr>
      <w:r>
        <w:rPr>
          <w:sz w:val="22"/>
          <w:szCs w:val="22"/>
        </w:rPr>
        <w:t xml:space="preserve">10. Total taxes</w:t>
      </w:r>
    </w:p>
    <w:p>
      <w:pPr>
        <w:pBdr>
          <w:top w:val="single" w:color="D0D0D0" w:sz="1"/>
          <w:bottom w:val="single" w:color="D0D0D0" w:sz="1"/>
          <w:left w:val="single" w:color="D0D0D0" w:sz="1"/>
          <w:right w:val="single" w:color="D0D0D0" w:sz="1"/>
        </w:pBdr>
        <w:shd w:fill="F5F5F5" w:color="auto" w:val="clear"/>
        <w:spacing w:after="120"/>
        <w:ind w:left="360"/>
      </w:pPr>
      <w:r>
        <w:rPr>
          <w:rFonts w:ascii="Courier New" w:cs="Courier New" w:eastAsia="Courier New" w:hAnsi="Courier New"/>
          <w:sz w:val="18"/>
          <w:szCs w:val="18"/>
        </w:rPr>
        <w:t xml:space="preserve">total_taxes = federal_tax + provincial_tax + cpp_ei − prov_care_credit − cwb</w:t>
      </w:r>
    </w:p>
    <w:p>
      <w:pPr>
        <w:pStyle w:val="Heading3"/>
        <w:spacing w:after="120" w:before="240"/>
      </w:pPr>
      <w:r>
        <w:rPr>
          <w:sz w:val="22"/>
          <w:szCs w:val="22"/>
        </w:rPr>
        <w:t xml:space="preserve">11.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6E4F0" w:color="auto" w:val="clear"/>
          </w:tcPr>
          <w:p>
            <w:pPr>
              <w:spacing w:after="40" w:before="40"/>
            </w:pPr>
            <w:r>
              <w:rPr>
                <w:sz w:val="22"/>
                <w:szCs w:val="22"/>
              </w:rPr>
              <w:t xml:space="preserve">Benefit</w:t>
            </w:r>
          </w:p>
        </w:tc>
        <w:tc>
          <w:tcPr>
            <w:tcW w:type="dxa" w:w="3120"/>
            <w:shd w:fill="D6E4F0" w:color="auto" w:val="clear"/>
          </w:tcPr>
          <w:p>
            <w:pPr>
              <w:spacing w:after="40" w:before="40"/>
            </w:pPr>
            <w:r>
              <w:rPr>
                <w:sz w:val="22"/>
                <w:szCs w:val="22"/>
              </w:rPr>
              <w:t xml:space="preserve">Scope</w:t>
            </w:r>
          </w:p>
        </w:tc>
        <w:tc>
          <w:tcPr>
            <w:tcW w:type="dxa" w:w="3120"/>
            <w:shd w:fill="D6E4F0" w:color="auto" w:val="clear"/>
          </w:tcPr>
          <w:p>
            <w:pPr>
              <w:spacing w:after="40" w:before="40"/>
            </w:pPr>
            <w:r>
              <w:rPr>
                <w:sz w:val="22"/>
                <w:szCs w:val="22"/>
              </w:rPr>
              <w:t xml:space="preserve">Description</w:t>
            </w:r>
          </w:p>
        </w:tc>
      </w:tr>
      <w:tr>
        <w:trPr>
          <w:tblHeader w:val="false"/>
        </w:trPr>
        <w:tc>
          <w:tcPr>
            <w:tcW w:type="dxa" w:w="3120"/>
            <w:shd w:fill="FFFFFF" w:color="auto" w:val="clear"/>
          </w:tcPr>
          <w:p>
            <w:pPr>
              <w:spacing w:after="40" w:before="40"/>
            </w:pPr>
            <w:r>
              <w:rPr>
                <w:b/>
                <w:bCs/>
                <w:sz w:val="22"/>
                <w:szCs w:val="22"/>
              </w:rPr>
              <w:t xml:space="preserve">Canada Child Benefit (CCB)</w:t>
            </w:r>
          </w:p>
        </w:tc>
        <w:tc>
          <w:tcPr>
            <w:tcW w:type="dxa" w:w="3120"/>
            <w:shd w:fill="FFFFFF" w:color="auto" w:val="clear"/>
          </w:tcPr>
          <w:p>
            <w:pPr>
              <w:spacing w:after="40" w:before="40"/>
            </w:pPr>
            <w:r>
              <w:rPr>
                <w:sz w:val="22"/>
                <w:szCs w:val="22"/>
              </w:rPr>
              <w:t xml:space="preserve">Federal</w:t>
            </w:r>
          </w:p>
        </w:tc>
        <w:tc>
          <w:tcPr>
            <w:tcW w:type="dxa" w:w="3120"/>
            <w:shd w:fill="FFFFFF" w:color="auto" w:val="clear"/>
          </w:tcPr>
          <w:p>
            <w:pPr>
              <w:spacing w:after="40" w:before="40"/>
            </w:pPr>
            <w:r>
              <w:rPr>
                <w:sz w:val="22"/>
                <w:szCs w:val="22"/>
              </w:rPr>
              <w:t xml:space="preserve">Per-child amounts (under 6 / 6–17), two-phase clawback</w:t>
            </w:r>
          </w:p>
        </w:tc>
      </w:tr>
      <w:tr>
        <w:trPr>
          <w:tblHeader w:val="false"/>
        </w:trPr>
        <w:tc>
          <w:tcPr>
            <w:tcW w:type="dxa" w:w="3120"/>
            <w:shd w:fill="F2F2F2" w:color="auto" w:val="clear"/>
          </w:tcPr>
          <w:p>
            <w:pPr>
              <w:spacing w:after="40" w:before="40"/>
            </w:pPr>
            <w:r>
              <w:rPr>
                <w:b/>
                <w:bCs/>
                <w:sz w:val="22"/>
                <w:szCs w:val="22"/>
              </w:rPr>
              <w:t xml:space="preserve">GST/HST credit</w:t>
            </w:r>
          </w:p>
        </w:tc>
        <w:tc>
          <w:tcPr>
            <w:tcW w:type="dxa" w:w="3120"/>
            <w:shd w:fill="F2F2F2" w:color="auto" w:val="clear"/>
          </w:tcPr>
          <w:p>
            <w:pPr>
              <w:spacing w:after="40" w:before="40"/>
            </w:pPr>
            <w:r>
              <w:rPr>
                <w:sz w:val="22"/>
                <w:szCs w:val="22"/>
              </w:rPr>
              <w:t xml:space="preserve">Federal</w:t>
            </w:r>
          </w:p>
        </w:tc>
        <w:tc>
          <w:tcPr>
            <w:tcW w:type="dxa" w:w="3120"/>
            <w:shd w:fill="F2F2F2" w:color="auto" w:val="clear"/>
          </w:tcPr>
          <w:p>
            <w:pPr>
              <w:spacing w:after="40" w:before="40"/>
            </w:pPr>
            <w:r>
              <w:rPr>
                <w:sz w:val="22"/>
                <w:szCs w:val="22"/>
              </w:rPr>
              <w:t xml:space="preserve">Base + dependent credits, clawed back at 5% above threshold</w:t>
            </w:r>
          </w:p>
        </w:tc>
      </w:tr>
      <w:tr>
        <w:trPr>
          <w:tblHeader w:val="false"/>
        </w:trPr>
        <w:tc>
          <w:tcPr>
            <w:tcW w:type="dxa" w:w="3120"/>
            <w:shd w:fill="FFFFFF" w:color="auto" w:val="clear"/>
          </w:tcPr>
          <w:p>
            <w:pPr>
              <w:spacing w:after="40" w:before="40"/>
            </w:pPr>
            <w:r>
              <w:rPr>
                <w:b/>
                <w:bCs/>
                <w:sz w:val="22"/>
                <w:szCs w:val="22"/>
              </w:rPr>
              <w:t xml:space="preserve">Provincial child benefit</w:t>
            </w:r>
          </w:p>
        </w:tc>
        <w:tc>
          <w:tcPr>
            <w:tcW w:type="dxa" w:w="3120"/>
            <w:shd w:fill="FFFFFF" w:color="auto" w:val="clear"/>
          </w:tcPr>
          <w:p>
            <w:pPr>
              <w:spacing w:after="40" w:before="40"/>
            </w:pPr>
            <w:r>
              <w:rPr>
                <w:sz w:val="22"/>
                <w:szCs w:val="22"/>
              </w:rPr>
              <w:t xml:space="preserve">ON: OCB, BC: Childhood Opportunity Benefit, AB: ACFB</w:t>
            </w:r>
          </w:p>
        </w:tc>
        <w:tc>
          <w:tcPr>
            <w:tcW w:type="dxa" w:w="3120"/>
            <w:shd w:fill="FFFFFF" w:color="auto" w:val="clear"/>
          </w:tcPr>
          <w:p>
            <w:pPr>
              <w:spacing w:after="40" w:before="40"/>
            </w:pPr>
            <w:r>
              <w:rPr>
                <w:sz w:val="22"/>
                <w:szCs w:val="22"/>
              </w:rPr>
              <w:t xml:space="preserve">Province-specific per-child amounts with income clawback</w:t>
            </w:r>
          </w:p>
        </w:tc>
      </w:tr>
      <w:tr>
        <w:trPr>
          <w:tblHeader w:val="false"/>
        </w:trPr>
        <w:tc>
          <w:tcPr>
            <w:tcW w:type="dxa" w:w="3120"/>
            <w:shd w:fill="F2F2F2" w:color="auto" w:val="clear"/>
          </w:tcPr>
          <w:p>
            <w:pPr>
              <w:spacing w:after="40" w:before="40"/>
            </w:pPr>
            <w:r>
              <w:rPr>
                <w:b/>
                <w:bCs/>
                <w:sz w:val="22"/>
                <w:szCs w:val="22"/>
              </w:rPr>
              <w:t xml:space="preserve">Provincial sales tax credit</w:t>
            </w:r>
          </w:p>
        </w:tc>
        <w:tc>
          <w:tcPr>
            <w:tcW w:type="dxa" w:w="3120"/>
            <w:shd w:fill="F2F2F2" w:color="auto" w:val="clear"/>
          </w:tcPr>
          <w:p>
            <w:pPr>
              <w:spacing w:after="40" w:before="40"/>
            </w:pPr>
            <w:r>
              <w:rPr>
                <w:sz w:val="22"/>
                <w:szCs w:val="22"/>
              </w:rPr>
              <w:t xml:space="preserve">ON: OSTC, SK: SLITC</w:t>
            </w:r>
          </w:p>
        </w:tc>
        <w:tc>
          <w:tcPr>
            <w:tcW w:type="dxa" w:w="3120"/>
            <w:shd w:fill="F2F2F2" w:color="auto" w:val="clear"/>
          </w:tcPr>
          <w:p>
            <w:pPr>
              <w:spacing w:after="40" w:before="40"/>
            </w:pPr>
            <w:r>
              <w:rPr>
                <w:sz w:val="22"/>
                <w:szCs w:val="22"/>
              </w:rPr>
              <w:t xml:space="preserve">Income-tested refundable credit</w:t>
            </w:r>
          </w:p>
        </w:tc>
      </w:tr>
      <w:tr>
        <w:trPr>
          <w:tblHeader w:val="false"/>
        </w:trPr>
        <w:tc>
          <w:tcPr>
            <w:tcW w:type="dxa" w:w="3120"/>
            <w:shd w:fill="FFFFFF" w:color="auto" w:val="clear"/>
          </w:tcPr>
          <w:p>
            <w:pPr>
              <w:spacing w:after="40" w:before="40"/>
            </w:pPr>
            <w:r>
              <w:rPr>
                <w:b/>
                <w:bCs/>
                <w:sz w:val="22"/>
                <w:szCs w:val="22"/>
              </w:rPr>
              <w:t xml:space="preserve">Climate Action Incentive (CAI)</w:t>
            </w:r>
          </w:p>
        </w:tc>
        <w:tc>
          <w:tcPr>
            <w:tcW w:type="dxa" w:w="3120"/>
            <w:shd w:fill="FFFFFF" w:color="auto" w:val="clear"/>
          </w:tcPr>
          <w:p>
            <w:pPr>
              <w:spacing w:after="40" w:before="40"/>
            </w:pPr>
            <w:r>
              <w:rPr>
                <w:sz w:val="22"/>
                <w:szCs w:val="22"/>
              </w:rPr>
              <w:t xml:space="preserve">ON, AB, SK, MB</w:t>
            </w:r>
          </w:p>
        </w:tc>
        <w:tc>
          <w:tcPr>
            <w:tcW w:type="dxa" w:w="3120"/>
            <w:shd w:fill="FFFFFF" w:color="auto" w:val="clear"/>
          </w:tcPr>
          <w:p>
            <w:pPr>
              <w:spacing w:after="40" w:before="40"/>
            </w:pPr>
            <w:r>
              <w:rPr>
                <w:sz w:val="22"/>
                <w:szCs w:val="22"/>
              </w:rPr>
              <w:t xml:space="preserve">Fixed per-person/child amounts (program cancelled April 2025 for AB/SK/MB; values retained for 2025 calculations)</w:t>
            </w:r>
          </w:p>
        </w:tc>
      </w:tr>
    </w:tbl>
    <w:p>
      <w:pPr>
        <w:spacing w:after="120"/>
      </w:pPr>
    </w:p>
    <w:p>
      <w:pPr>
        <w:pBdr>
          <w:top w:val="single" w:color="D0D0D0" w:sz="1"/>
          <w:bottom w:val="single" w:color="D0D0D0" w:sz="1"/>
          <w:left w:val="single" w:color="D0D0D0" w:sz="1"/>
          <w:right w:val="single" w:color="D0D0D0" w:sz="1"/>
        </w:pBdr>
        <w:shd w:fill="F5F5F5" w:color="auto" w:val="clear"/>
        <w:spacing w:after="120"/>
        <w:ind w:left="360"/>
      </w:pPr>
      <w:r>
        <w:rPr>
          <w:rFonts w:ascii="Courier New" w:cs="Courier New" w:eastAsia="Courier New" w:hAnsi="Courier New"/>
          <w:sz w:val="18"/>
          <w:szCs w:val="18"/>
        </w:rPr>
        <w:t xml:space="preserve">total_benefits = CCB + GST/HST + prov_child_benefit + prov_sales_tax_credit + CAI</w:t>
      </w:r>
    </w:p>
    <w:p>
      <w:pPr>
        <w:pStyle w:val="Heading3"/>
        <w:spacing w:after="120" w:before="240"/>
      </w:pPr>
      <w:r>
        <w:rPr>
          <w:sz w:val="22"/>
          <w:szCs w:val="22"/>
        </w:rPr>
        <w:t xml:space="preserve">12. Net income</w:t>
      </w:r>
    </w:p>
    <w:p>
      <w:pPr>
        <w:pBdr>
          <w:top w:val="single" w:color="D0D0D0" w:sz="1"/>
          <w:bottom w:val="single" w:color="D0D0D0" w:sz="1"/>
          <w:left w:val="single" w:color="D0D0D0" w:sz="1"/>
          <w:right w:val="single" w:color="D0D0D0" w:sz="1"/>
        </w:pBdr>
        <w:shd w:fill="F5F5F5" w:color="auto" w:val="clear"/>
        <w:spacing w:after="120"/>
        <w:ind w:left="360"/>
      </w:pPr>
      <w:r>
        <w:rPr>
          <w:rFonts w:ascii="Courier New" w:cs="Courier New" w:eastAsia="Courier New" w:hAnsi="Courier New"/>
          <w:sz w:val="18"/>
          <w:szCs w:val="18"/>
        </w:rPr>
        <w:t xml:space="preserve">net_income_after_tax = taxable_income − total_taxes + total_benefits</w:t>
      </w:r>
    </w:p>
    <w:p>
      <w:pPr>
        <w:pBdr>
          <w:bottom w:val="single" w:color="BFBFBF" w:sz="6"/>
        </w:pBdr>
        <w:spacing w:after="120" w:before="120"/>
      </w:pPr>
    </w:p>
    <w:p>
      <w:pPr>
        <w:pStyle w:val="Heading2"/>
        <w:spacing w:after="120" w:before="240"/>
      </w:pPr>
      <w:r>
        <w:rPr>
          <w:sz w:val="22"/>
          <w:szCs w:val="22"/>
        </w:rPr>
        <w:t xml:space="preserve">Province support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D6E4F0" w:color="auto" w:val="clear"/>
          </w:tcPr>
          <w:p>
            <w:pPr>
              <w:spacing w:after="40" w:before="40"/>
            </w:pPr>
            <w:r>
              <w:rPr>
                <w:sz w:val="22"/>
                <w:szCs w:val="22"/>
              </w:rPr>
              <w:t xml:space="preserve">Feature</w:t>
            </w:r>
          </w:p>
        </w:tc>
        <w:tc>
          <w:tcPr>
            <w:tcW w:type="dxa" w:w="1560"/>
            <w:shd w:fill="D6E4F0" w:color="auto" w:val="clear"/>
          </w:tcPr>
          <w:p>
            <w:pPr>
              <w:spacing w:after="40" w:before="40"/>
            </w:pPr>
            <w:r>
              <w:rPr>
                <w:sz w:val="22"/>
                <w:szCs w:val="22"/>
              </w:rPr>
              <w:t xml:space="preserve">ON</w:t>
            </w:r>
          </w:p>
        </w:tc>
        <w:tc>
          <w:tcPr>
            <w:tcW w:type="dxa" w:w="1560"/>
            <w:shd w:fill="D6E4F0" w:color="auto" w:val="clear"/>
          </w:tcPr>
          <w:p>
            <w:pPr>
              <w:spacing w:after="40" w:before="40"/>
            </w:pPr>
            <w:r>
              <w:rPr>
                <w:sz w:val="22"/>
                <w:szCs w:val="22"/>
              </w:rPr>
              <w:t xml:space="preserve">BC</w:t>
            </w:r>
          </w:p>
        </w:tc>
        <w:tc>
          <w:tcPr>
            <w:tcW w:type="dxa" w:w="1560"/>
            <w:shd w:fill="D6E4F0" w:color="auto" w:val="clear"/>
          </w:tcPr>
          <w:p>
            <w:pPr>
              <w:spacing w:after="40" w:before="40"/>
            </w:pPr>
            <w:r>
              <w:rPr>
                <w:sz w:val="22"/>
                <w:szCs w:val="22"/>
              </w:rPr>
              <w:t xml:space="preserve">AB</w:t>
            </w:r>
          </w:p>
        </w:tc>
        <w:tc>
          <w:tcPr>
            <w:tcW w:type="dxa" w:w="1560"/>
            <w:shd w:fill="D6E4F0" w:color="auto" w:val="clear"/>
          </w:tcPr>
          <w:p>
            <w:pPr>
              <w:spacing w:after="40" w:before="40"/>
            </w:pPr>
            <w:r>
              <w:rPr>
                <w:sz w:val="22"/>
                <w:szCs w:val="22"/>
              </w:rPr>
              <w:t xml:space="preserve">SK</w:t>
            </w:r>
          </w:p>
        </w:tc>
        <w:tc>
          <w:tcPr>
            <w:tcW w:type="dxa" w:w="1560"/>
            <w:shd w:fill="D6E4F0" w:color="auto" w:val="clear"/>
          </w:tcPr>
          <w:p>
            <w:pPr>
              <w:spacing w:after="40" w:before="40"/>
            </w:pPr>
            <w:r>
              <w:rPr>
                <w:sz w:val="22"/>
                <w:szCs w:val="22"/>
              </w:rPr>
              <w:t xml:space="preserve">MB</w:t>
            </w:r>
          </w:p>
        </w:tc>
      </w:tr>
      <w:tr>
        <w:trPr>
          <w:tblHeader w:val="false"/>
        </w:trPr>
        <w:tc>
          <w:tcPr>
            <w:tcW w:type="dxa" w:w="1560"/>
            <w:shd w:fill="FFFFFF" w:color="auto" w:val="clear"/>
          </w:tcPr>
          <w:p>
            <w:pPr>
              <w:spacing w:after="40" w:before="40"/>
            </w:pPr>
            <w:r>
              <w:rPr>
                <w:sz w:val="22"/>
                <w:szCs w:val="22"/>
              </w:rPr>
              <w:t xml:space="preserve">Provincial tax brackets</w:t>
            </w:r>
          </w:p>
        </w:tc>
        <w:tc>
          <w:tcPr>
            <w:tcW w:type="dxa" w:w="1560"/>
            <w:shd w:fill="FFFFFF" w:color="auto" w:val="clear"/>
          </w:tcPr>
          <w:p>
            <w:pPr>
              <w:spacing w:after="40" w:before="40"/>
            </w:pPr>
            <w:r>
              <w:rPr>
                <w:sz w:val="22"/>
                <w:szCs w:val="22"/>
              </w:rPr>
              <w:t xml:space="preserve">Yes</w:t>
            </w:r>
          </w:p>
        </w:tc>
        <w:tc>
          <w:tcPr>
            <w:tcW w:type="dxa" w:w="1560"/>
            <w:shd w:fill="FFFFFF" w:color="auto" w:val="clear"/>
          </w:tcPr>
          <w:p>
            <w:pPr>
              <w:spacing w:after="40" w:before="40"/>
            </w:pPr>
            <w:r>
              <w:rPr>
                <w:sz w:val="22"/>
                <w:szCs w:val="22"/>
              </w:rPr>
              <w:t xml:space="preserve">Yes</w:t>
            </w:r>
          </w:p>
        </w:tc>
        <w:tc>
          <w:tcPr>
            <w:tcW w:type="dxa" w:w="1560"/>
            <w:shd w:fill="FFFFFF" w:color="auto" w:val="clear"/>
          </w:tcPr>
          <w:p>
            <w:pPr>
              <w:spacing w:after="40" w:before="40"/>
            </w:pPr>
            <w:r>
              <w:rPr>
                <w:sz w:val="22"/>
                <w:szCs w:val="22"/>
              </w:rPr>
              <w:t xml:space="preserve">Yes</w:t>
            </w:r>
          </w:p>
        </w:tc>
        <w:tc>
          <w:tcPr>
            <w:tcW w:type="dxa" w:w="1560"/>
            <w:shd w:fill="FFFFFF" w:color="auto" w:val="clear"/>
          </w:tcPr>
          <w:p>
            <w:pPr>
              <w:spacing w:after="40" w:before="40"/>
            </w:pPr>
            <w:r>
              <w:rPr>
                <w:sz w:val="22"/>
                <w:szCs w:val="22"/>
              </w:rPr>
              <w:t xml:space="preserve">Yes</w:t>
            </w:r>
          </w:p>
        </w:tc>
        <w:tc>
          <w:tcPr>
            <w:tcW w:type="dxa" w:w="1560"/>
            <w:shd w:fill="FFFFFF" w:color="auto" w:val="clear"/>
          </w:tcPr>
          <w:p>
            <w:pPr>
              <w:spacing w:after="40" w:before="40"/>
            </w:pPr>
            <w:r>
              <w:rPr>
                <w:sz w:val="22"/>
                <w:szCs w:val="22"/>
              </w:rPr>
              <w:t xml:space="preserve">Yes</w:t>
            </w:r>
          </w:p>
        </w:tc>
      </w:tr>
      <w:tr>
        <w:trPr>
          <w:tblHeader w:val="false"/>
        </w:trPr>
        <w:tc>
          <w:tcPr>
            <w:tcW w:type="dxa" w:w="1560"/>
            <w:shd w:fill="F2F2F2" w:color="auto" w:val="clear"/>
          </w:tcPr>
          <w:p>
            <w:pPr>
              <w:spacing w:after="40" w:before="40"/>
            </w:pPr>
            <w:r>
              <w:rPr>
                <w:sz w:val="22"/>
                <w:szCs w:val="22"/>
              </w:rPr>
              <w:t xml:space="preserve">Surtax</w:t>
            </w:r>
          </w:p>
        </w:tc>
        <w:tc>
          <w:tcPr>
            <w:tcW w:type="dxa" w:w="1560"/>
            <w:shd w:fill="F2F2F2" w:color="auto" w:val="clear"/>
          </w:tcPr>
          <w:p>
            <w:pPr>
              <w:spacing w:after="40" w:before="40"/>
            </w:pPr>
            <w:r>
              <w:rPr>
                <w:sz w:val="22"/>
                <w:szCs w:val="22"/>
              </w:rPr>
              <w:t xml:space="preserve">Yes</w:t>
            </w:r>
          </w:p>
        </w:tc>
        <w:tc>
          <w:tcPr>
            <w:tcW w:type="dxa" w:w="1560"/>
            <w:shd w:fill="F2F2F2" w:color="auto" w:val="clear"/>
          </w:tcPr>
          <w:p>
            <w:pPr>
              <w:spacing w:after="40" w:before="40"/>
            </w:pPr>
            <w:r>
              <w:rPr>
                <w:sz w:val="22"/>
                <w:szCs w:val="22"/>
              </w:rPr>
              <w:t xml:space="preserve">No</w:t>
            </w:r>
          </w:p>
        </w:tc>
        <w:tc>
          <w:tcPr>
            <w:tcW w:type="dxa" w:w="1560"/>
            <w:shd w:fill="F2F2F2" w:color="auto" w:val="clear"/>
          </w:tcPr>
          <w:p>
            <w:pPr>
              <w:spacing w:after="40" w:before="40"/>
            </w:pPr>
            <w:r>
              <w:rPr>
                <w:sz w:val="22"/>
                <w:szCs w:val="22"/>
              </w:rPr>
              <w:t xml:space="preserve">No</w:t>
            </w:r>
          </w:p>
        </w:tc>
        <w:tc>
          <w:tcPr>
            <w:tcW w:type="dxa" w:w="1560"/>
            <w:shd w:fill="F2F2F2" w:color="auto" w:val="clear"/>
          </w:tcPr>
          <w:p>
            <w:pPr>
              <w:spacing w:after="40" w:before="40"/>
            </w:pPr>
            <w:r>
              <w:rPr>
                <w:sz w:val="22"/>
                <w:szCs w:val="22"/>
              </w:rPr>
              <w:t xml:space="preserve">No</w:t>
            </w:r>
          </w:p>
        </w:tc>
        <w:tc>
          <w:tcPr>
            <w:tcW w:type="dxa" w:w="1560"/>
            <w:shd w:fill="F2F2F2" w:color="auto" w:val="clear"/>
          </w:tcPr>
          <w:p>
            <w:pPr>
              <w:spacing w:after="40" w:before="40"/>
            </w:pPr>
            <w:r>
              <w:rPr>
                <w:sz w:val="22"/>
                <w:szCs w:val="22"/>
              </w:rPr>
              <w:t xml:space="preserve">No</w:t>
            </w:r>
          </w:p>
        </w:tc>
      </w:tr>
      <w:tr>
        <w:trPr>
          <w:tblHeader w:val="false"/>
        </w:trPr>
        <w:tc>
          <w:tcPr>
            <w:tcW w:type="dxa" w:w="1560"/>
            <w:shd w:fill="FFFFFF" w:color="auto" w:val="clear"/>
          </w:tcPr>
          <w:p>
            <w:pPr>
              <w:spacing w:after="40" w:before="40"/>
            </w:pPr>
            <w:r>
              <w:rPr>
                <w:sz w:val="22"/>
                <w:szCs w:val="22"/>
              </w:rPr>
              <w:t xml:space="preserve">Health premium</w:t>
            </w:r>
          </w:p>
        </w:tc>
        <w:tc>
          <w:tcPr>
            <w:tcW w:type="dxa" w:w="1560"/>
            <w:shd w:fill="FFFFFF" w:color="auto" w:val="clear"/>
          </w:tcPr>
          <w:p>
            <w:pPr>
              <w:spacing w:after="40" w:before="40"/>
            </w:pPr>
            <w:r>
              <w:rPr>
                <w:sz w:val="22"/>
                <w:szCs w:val="22"/>
              </w:rPr>
              <w:t xml:space="preserve">Yes</w:t>
            </w:r>
          </w:p>
        </w:tc>
        <w:tc>
          <w:tcPr>
            <w:tcW w:type="dxa" w:w="1560"/>
            <w:shd w:fill="FFFFFF" w:color="auto" w:val="clear"/>
          </w:tcPr>
          <w:p>
            <w:pPr>
              <w:spacing w:after="40" w:before="40"/>
            </w:pPr>
            <w:r>
              <w:rPr>
                <w:sz w:val="22"/>
                <w:szCs w:val="22"/>
              </w:rPr>
              <w:t xml:space="preserve">No</w:t>
            </w:r>
          </w:p>
        </w:tc>
        <w:tc>
          <w:tcPr>
            <w:tcW w:type="dxa" w:w="1560"/>
            <w:shd w:fill="FFFFFF" w:color="auto" w:val="clear"/>
          </w:tcPr>
          <w:p>
            <w:pPr>
              <w:spacing w:after="40" w:before="40"/>
            </w:pPr>
            <w:r>
              <w:rPr>
                <w:sz w:val="22"/>
                <w:szCs w:val="22"/>
              </w:rPr>
              <w:t xml:space="preserve">No</w:t>
            </w:r>
          </w:p>
        </w:tc>
        <w:tc>
          <w:tcPr>
            <w:tcW w:type="dxa" w:w="1560"/>
            <w:shd w:fill="FFFFFF" w:color="auto" w:val="clear"/>
          </w:tcPr>
          <w:p>
            <w:pPr>
              <w:spacing w:after="40" w:before="40"/>
            </w:pPr>
            <w:r>
              <w:rPr>
                <w:sz w:val="22"/>
                <w:szCs w:val="22"/>
              </w:rPr>
              <w:t xml:space="preserve">No</w:t>
            </w:r>
          </w:p>
        </w:tc>
        <w:tc>
          <w:tcPr>
            <w:tcW w:type="dxa" w:w="1560"/>
            <w:shd w:fill="FFFFFF" w:color="auto" w:val="clear"/>
          </w:tcPr>
          <w:p>
            <w:pPr>
              <w:spacing w:after="40" w:before="40"/>
            </w:pPr>
            <w:r>
              <w:rPr>
                <w:sz w:val="22"/>
                <w:szCs w:val="22"/>
              </w:rPr>
              <w:t xml:space="preserve">No</w:t>
            </w:r>
          </w:p>
        </w:tc>
      </w:tr>
      <w:tr>
        <w:trPr>
          <w:tblHeader w:val="false"/>
        </w:trPr>
        <w:tc>
          <w:tcPr>
            <w:tcW w:type="dxa" w:w="1560"/>
            <w:shd w:fill="F2F2F2" w:color="auto" w:val="clear"/>
          </w:tcPr>
          <w:p>
            <w:pPr>
              <w:spacing w:after="40" w:before="40"/>
            </w:pPr>
            <w:r>
              <w:rPr>
                <w:sz w:val="22"/>
                <w:szCs w:val="22"/>
              </w:rPr>
              <w:t xml:space="preserve">LIFT credit</w:t>
            </w:r>
          </w:p>
        </w:tc>
        <w:tc>
          <w:tcPr>
            <w:tcW w:type="dxa" w:w="1560"/>
            <w:shd w:fill="F2F2F2" w:color="auto" w:val="clear"/>
          </w:tcPr>
          <w:p>
            <w:pPr>
              <w:spacing w:after="40" w:before="40"/>
            </w:pPr>
            <w:r>
              <w:rPr>
                <w:sz w:val="22"/>
                <w:szCs w:val="22"/>
              </w:rPr>
              <w:t xml:space="preserve">Yes</w:t>
            </w:r>
          </w:p>
        </w:tc>
        <w:tc>
          <w:tcPr>
            <w:tcW w:type="dxa" w:w="1560"/>
            <w:shd w:fill="F2F2F2" w:color="auto" w:val="clear"/>
          </w:tcPr>
          <w:p>
            <w:pPr>
              <w:spacing w:after="40" w:before="40"/>
            </w:pPr>
            <w:r>
              <w:rPr>
                <w:sz w:val="22"/>
                <w:szCs w:val="22"/>
              </w:rPr>
              <w:t xml:space="preserve">No</w:t>
            </w:r>
          </w:p>
        </w:tc>
        <w:tc>
          <w:tcPr>
            <w:tcW w:type="dxa" w:w="1560"/>
            <w:shd w:fill="F2F2F2" w:color="auto" w:val="clear"/>
          </w:tcPr>
          <w:p>
            <w:pPr>
              <w:spacing w:after="40" w:before="40"/>
            </w:pPr>
            <w:r>
              <w:rPr>
                <w:sz w:val="22"/>
                <w:szCs w:val="22"/>
              </w:rPr>
              <w:t xml:space="preserve">No</w:t>
            </w:r>
          </w:p>
        </w:tc>
        <w:tc>
          <w:tcPr>
            <w:tcW w:type="dxa" w:w="1560"/>
            <w:shd w:fill="F2F2F2" w:color="auto" w:val="clear"/>
          </w:tcPr>
          <w:p>
            <w:pPr>
              <w:spacing w:after="40" w:before="40"/>
            </w:pPr>
            <w:r>
              <w:rPr>
                <w:sz w:val="22"/>
                <w:szCs w:val="22"/>
              </w:rPr>
              <w:t xml:space="preserve">No</w:t>
            </w:r>
          </w:p>
        </w:tc>
        <w:tc>
          <w:tcPr>
            <w:tcW w:type="dxa" w:w="1560"/>
            <w:shd w:fill="F2F2F2" w:color="auto" w:val="clear"/>
          </w:tcPr>
          <w:p>
            <w:pPr>
              <w:spacing w:after="40" w:before="40"/>
            </w:pPr>
            <w:r>
              <w:rPr>
                <w:sz w:val="22"/>
                <w:szCs w:val="22"/>
              </w:rPr>
              <w:t xml:space="preserve">No</w:t>
            </w:r>
          </w:p>
        </w:tc>
      </w:tr>
      <w:tr>
        <w:trPr>
          <w:tblHeader w:val="false"/>
        </w:trPr>
        <w:tc>
          <w:tcPr>
            <w:tcW w:type="dxa" w:w="1560"/>
            <w:shd w:fill="FFFFFF" w:color="auto" w:val="clear"/>
          </w:tcPr>
          <w:p>
            <w:pPr>
              <w:spacing w:after="40" w:before="40"/>
            </w:pPr>
            <w:r>
              <w:rPr>
                <w:sz w:val="22"/>
                <w:szCs w:val="22"/>
              </w:rPr>
              <w:t xml:space="preserve">Tax reduction</w:t>
            </w:r>
          </w:p>
        </w:tc>
        <w:tc>
          <w:tcPr>
            <w:tcW w:type="dxa" w:w="1560"/>
            <w:shd w:fill="FFFFFF" w:color="auto" w:val="clear"/>
          </w:tcPr>
          <w:p>
            <w:pPr>
              <w:spacing w:after="40" w:before="40"/>
            </w:pPr>
            <w:r>
              <w:rPr>
                <w:sz w:val="22"/>
                <w:szCs w:val="22"/>
              </w:rPr>
              <w:t xml:space="preserve">Yes</w:t>
            </w:r>
          </w:p>
        </w:tc>
        <w:tc>
          <w:tcPr>
            <w:tcW w:type="dxa" w:w="1560"/>
            <w:shd w:fill="FFFFFF" w:color="auto" w:val="clear"/>
          </w:tcPr>
          <w:p>
            <w:pPr>
              <w:spacing w:after="40" w:before="40"/>
            </w:pPr>
            <w:r>
              <w:rPr>
                <w:sz w:val="22"/>
                <w:szCs w:val="22"/>
              </w:rPr>
              <w:t xml:space="preserve">Yes</w:t>
            </w:r>
          </w:p>
        </w:tc>
        <w:tc>
          <w:tcPr>
            <w:tcW w:type="dxa" w:w="1560"/>
            <w:shd w:fill="FFFFFF" w:color="auto" w:val="clear"/>
          </w:tcPr>
          <w:p>
            <w:pPr>
              <w:spacing w:after="40" w:before="40"/>
            </w:pPr>
            <w:r>
              <w:rPr>
                <w:sz w:val="22"/>
                <w:szCs w:val="22"/>
              </w:rPr>
              <w:t xml:space="preserve">No</w:t>
            </w:r>
          </w:p>
        </w:tc>
        <w:tc>
          <w:tcPr>
            <w:tcW w:type="dxa" w:w="1560"/>
            <w:shd w:fill="FFFFFF" w:color="auto" w:val="clear"/>
          </w:tcPr>
          <w:p>
            <w:pPr>
              <w:spacing w:after="40" w:before="40"/>
            </w:pPr>
            <w:r>
              <w:rPr>
                <w:sz w:val="22"/>
                <w:szCs w:val="22"/>
              </w:rPr>
              <w:t xml:space="preserve">No</w:t>
            </w:r>
          </w:p>
        </w:tc>
        <w:tc>
          <w:tcPr>
            <w:tcW w:type="dxa" w:w="1560"/>
            <w:shd w:fill="FFFFFF" w:color="auto" w:val="clear"/>
          </w:tcPr>
          <w:p>
            <w:pPr>
              <w:spacing w:after="40" w:before="40"/>
            </w:pPr>
            <w:r>
              <w:rPr>
                <w:sz w:val="22"/>
                <w:szCs w:val="22"/>
              </w:rPr>
              <w:t xml:space="preserve">No</w:t>
            </w:r>
          </w:p>
        </w:tc>
      </w:tr>
      <w:tr>
        <w:trPr>
          <w:tblHeader w:val="false"/>
        </w:trPr>
        <w:tc>
          <w:tcPr>
            <w:tcW w:type="dxa" w:w="1560"/>
            <w:shd w:fill="F2F2F2" w:color="auto" w:val="clear"/>
          </w:tcPr>
          <w:p>
            <w:pPr>
              <w:spacing w:after="40" w:before="40"/>
            </w:pPr>
            <w:r>
              <w:rPr>
                <w:sz w:val="22"/>
                <w:szCs w:val="22"/>
              </w:rPr>
              <w:t xml:space="preserve">Provincial child benefit</w:t>
            </w:r>
          </w:p>
        </w:tc>
        <w:tc>
          <w:tcPr>
            <w:tcW w:type="dxa" w:w="1560"/>
            <w:shd w:fill="F2F2F2" w:color="auto" w:val="clear"/>
          </w:tcPr>
          <w:p>
            <w:pPr>
              <w:spacing w:after="40" w:before="40"/>
            </w:pPr>
            <w:r>
              <w:rPr>
                <w:sz w:val="22"/>
                <w:szCs w:val="22"/>
              </w:rPr>
              <w:t xml:space="preserve">OCB</w:t>
            </w:r>
          </w:p>
        </w:tc>
        <w:tc>
          <w:tcPr>
            <w:tcW w:type="dxa" w:w="1560"/>
            <w:shd w:fill="F2F2F2" w:color="auto" w:val="clear"/>
          </w:tcPr>
          <w:p>
            <w:pPr>
              <w:spacing w:after="40" w:before="40"/>
            </w:pPr>
            <w:r>
              <w:rPr>
                <w:sz w:val="22"/>
                <w:szCs w:val="22"/>
              </w:rPr>
              <w:t xml:space="preserve">BC Child Benefit</w:t>
            </w:r>
          </w:p>
        </w:tc>
        <w:tc>
          <w:tcPr>
            <w:tcW w:type="dxa" w:w="1560"/>
            <w:shd w:fill="F2F2F2" w:color="auto" w:val="clear"/>
          </w:tcPr>
          <w:p>
            <w:pPr>
              <w:spacing w:after="40" w:before="40"/>
            </w:pPr>
            <w:r>
              <w:rPr>
                <w:sz w:val="22"/>
                <w:szCs w:val="22"/>
              </w:rPr>
              <w:t xml:space="preserve">ACFB</w:t>
            </w:r>
          </w:p>
        </w:tc>
        <w:tc>
          <w:tcPr>
            <w:tcW w:type="dxa" w:w="1560"/>
            <w:shd w:fill="F2F2F2" w:color="auto" w:val="clear"/>
          </w:tcPr>
          <w:p>
            <w:pPr>
              <w:spacing w:after="40" w:before="40"/>
            </w:pPr>
            <w:r>
              <w:rPr>
                <w:sz w:val="22"/>
                <w:szCs w:val="22"/>
              </w:rPr>
              <w:t xml:space="preserve">No</w:t>
            </w:r>
          </w:p>
        </w:tc>
        <w:tc>
          <w:tcPr>
            <w:tcW w:type="dxa" w:w="1560"/>
            <w:shd w:fill="F2F2F2" w:color="auto" w:val="clear"/>
          </w:tcPr>
          <w:p>
            <w:pPr>
              <w:spacing w:after="40" w:before="40"/>
            </w:pPr>
            <w:r>
              <w:rPr>
                <w:sz w:val="22"/>
                <w:szCs w:val="22"/>
              </w:rPr>
              <w:t xml:space="preserve">No</w:t>
            </w:r>
          </w:p>
        </w:tc>
      </w:tr>
      <w:tr>
        <w:trPr>
          <w:tblHeader w:val="false"/>
        </w:trPr>
        <w:tc>
          <w:tcPr>
            <w:tcW w:type="dxa" w:w="1560"/>
            <w:shd w:fill="FFFFFF" w:color="auto" w:val="clear"/>
          </w:tcPr>
          <w:p>
            <w:pPr>
              <w:spacing w:after="40" w:before="40"/>
            </w:pPr>
            <w:r>
              <w:rPr>
                <w:sz w:val="22"/>
                <w:szCs w:val="22"/>
              </w:rPr>
              <w:t xml:space="preserve">Provincial sales tax credit</w:t>
            </w:r>
          </w:p>
        </w:tc>
        <w:tc>
          <w:tcPr>
            <w:tcW w:type="dxa" w:w="1560"/>
            <w:shd w:fill="FFFFFF" w:color="auto" w:val="clear"/>
          </w:tcPr>
          <w:p>
            <w:pPr>
              <w:spacing w:after="40" w:before="40"/>
            </w:pPr>
            <w:r>
              <w:rPr>
                <w:sz w:val="22"/>
                <w:szCs w:val="22"/>
              </w:rPr>
              <w:t xml:space="preserve">OSTC</w:t>
            </w:r>
          </w:p>
        </w:tc>
        <w:tc>
          <w:tcPr>
            <w:tcW w:type="dxa" w:w="1560"/>
            <w:shd w:fill="FFFFFF" w:color="auto" w:val="clear"/>
          </w:tcPr>
          <w:p>
            <w:pPr>
              <w:spacing w:after="40" w:before="40"/>
            </w:pPr>
            <w:r>
              <w:rPr>
                <w:sz w:val="22"/>
                <w:szCs w:val="22"/>
              </w:rPr>
              <w:t xml:space="preserve">No</w:t>
            </w:r>
          </w:p>
        </w:tc>
        <w:tc>
          <w:tcPr>
            <w:tcW w:type="dxa" w:w="1560"/>
            <w:shd w:fill="FFFFFF" w:color="auto" w:val="clear"/>
          </w:tcPr>
          <w:p>
            <w:pPr>
              <w:spacing w:after="40" w:before="40"/>
            </w:pPr>
            <w:r>
              <w:rPr>
                <w:sz w:val="22"/>
                <w:szCs w:val="22"/>
              </w:rPr>
              <w:t xml:space="preserve">No</w:t>
            </w:r>
          </w:p>
        </w:tc>
        <w:tc>
          <w:tcPr>
            <w:tcW w:type="dxa" w:w="1560"/>
            <w:shd w:fill="FFFFFF" w:color="auto" w:val="clear"/>
          </w:tcPr>
          <w:p>
            <w:pPr>
              <w:spacing w:after="40" w:before="40"/>
            </w:pPr>
            <w:r>
              <w:rPr>
                <w:sz w:val="22"/>
                <w:szCs w:val="22"/>
              </w:rPr>
              <w:t xml:space="preserve">SLITC</w:t>
            </w:r>
          </w:p>
        </w:tc>
        <w:tc>
          <w:tcPr>
            <w:tcW w:type="dxa" w:w="1560"/>
            <w:shd w:fill="FFFFFF" w:color="auto" w:val="clear"/>
          </w:tcPr>
          <w:p>
            <w:pPr>
              <w:spacing w:after="40" w:before="40"/>
            </w:pPr>
            <w:r>
              <w:rPr>
                <w:sz w:val="22"/>
                <w:szCs w:val="22"/>
              </w:rPr>
              <w:t xml:space="preserve">No</w:t>
            </w:r>
          </w:p>
        </w:tc>
      </w:tr>
      <w:tr>
        <w:trPr>
          <w:tblHeader w:val="false"/>
        </w:trPr>
        <w:tc>
          <w:tcPr>
            <w:tcW w:type="dxa" w:w="1560"/>
            <w:shd w:fill="F2F2F2" w:color="auto" w:val="clear"/>
          </w:tcPr>
          <w:p>
            <w:pPr>
              <w:spacing w:after="40" w:before="40"/>
            </w:pPr>
            <w:r>
              <w:rPr>
                <w:sz w:val="22"/>
                <w:szCs w:val="22"/>
              </w:rPr>
              <w:t xml:space="preserve">Climate action</w:t>
            </w:r>
          </w:p>
        </w:tc>
        <w:tc>
          <w:tcPr>
            <w:tcW w:type="dxa" w:w="1560"/>
            <w:shd w:fill="F2F2F2" w:color="auto" w:val="clear"/>
          </w:tcPr>
          <w:p>
            <w:pPr>
              <w:spacing w:after="40" w:before="40"/>
            </w:pPr>
            <w:r>
              <w:rPr>
                <w:sz w:val="22"/>
                <w:szCs w:val="22"/>
              </w:rPr>
              <w:t xml:space="preserve">CAI</w:t>
            </w:r>
          </w:p>
        </w:tc>
        <w:tc>
          <w:tcPr>
            <w:tcW w:type="dxa" w:w="1560"/>
            <w:shd w:fill="F2F2F2" w:color="auto" w:val="clear"/>
          </w:tcPr>
          <w:p>
            <w:pPr>
              <w:spacing w:after="40" w:before="40"/>
            </w:pPr>
            <w:r>
              <w:rPr>
                <w:sz w:val="22"/>
                <w:szCs w:val="22"/>
              </w:rPr>
              <w:t xml:space="preserve">BC Climate Action</w:t>
            </w:r>
          </w:p>
        </w:tc>
        <w:tc>
          <w:tcPr>
            <w:tcW w:type="dxa" w:w="1560"/>
            <w:shd w:fill="F2F2F2" w:color="auto" w:val="clear"/>
          </w:tcPr>
          <w:p>
            <w:pPr>
              <w:spacing w:after="40" w:before="40"/>
            </w:pPr>
            <w:r>
              <w:rPr>
                <w:sz w:val="22"/>
                <w:szCs w:val="22"/>
              </w:rPr>
              <w:t xml:space="preserve">AB Climate Action</w:t>
            </w:r>
          </w:p>
        </w:tc>
        <w:tc>
          <w:tcPr>
            <w:tcW w:type="dxa" w:w="1560"/>
            <w:shd w:fill="F2F2F2" w:color="auto" w:val="clear"/>
          </w:tcPr>
          <w:p>
            <w:pPr>
              <w:spacing w:after="40" w:before="40"/>
            </w:pPr>
            <w:r>
              <w:rPr>
                <w:sz w:val="22"/>
                <w:szCs w:val="22"/>
              </w:rPr>
              <w:t xml:space="preserve">SK Climate Action</w:t>
            </w:r>
          </w:p>
        </w:tc>
        <w:tc>
          <w:tcPr>
            <w:tcW w:type="dxa" w:w="1560"/>
            <w:shd w:fill="F2F2F2" w:color="auto" w:val="clear"/>
          </w:tcPr>
          <w:p>
            <w:pPr>
              <w:spacing w:after="40" w:before="40"/>
            </w:pPr>
            <w:r>
              <w:rPr>
                <w:sz w:val="22"/>
                <w:szCs w:val="22"/>
              </w:rPr>
              <w:t xml:space="preserve">MB Climate Action</w:t>
            </w:r>
          </w:p>
        </w:tc>
      </w:tr>
      <w:tr>
        <w:trPr>
          <w:tblHeader w:val="false"/>
        </w:trPr>
        <w:tc>
          <w:tcPr>
            <w:tcW w:type="dxa" w:w="1560"/>
            <w:shd w:fill="FFFFFF" w:color="auto" w:val="clear"/>
          </w:tcPr>
          <w:p>
            <w:pPr>
              <w:spacing w:after="40" w:before="40"/>
            </w:pPr>
            <w:r>
              <w:rPr>
                <w:sz w:val="22"/>
                <w:szCs w:val="22"/>
              </w:rPr>
              <w:t xml:space="preserve">Provincial child-care credit</w:t>
            </w:r>
          </w:p>
        </w:tc>
        <w:tc>
          <w:tcPr>
            <w:tcW w:type="dxa" w:w="1560"/>
            <w:shd w:fill="FFFFFF" w:color="auto" w:val="clear"/>
          </w:tcPr>
          <w:p>
            <w:pPr>
              <w:spacing w:after="40" w:before="40"/>
            </w:pPr>
            <w:r>
              <w:rPr>
                <w:sz w:val="22"/>
                <w:szCs w:val="22"/>
              </w:rPr>
              <w:t xml:space="preserve">Yes</w:t>
            </w:r>
          </w:p>
        </w:tc>
        <w:tc>
          <w:tcPr>
            <w:tcW w:type="dxa" w:w="1560"/>
            <w:shd w:fill="FFFFFF" w:color="auto" w:val="clear"/>
          </w:tcPr>
          <w:p>
            <w:pPr>
              <w:spacing w:after="40" w:before="40"/>
            </w:pPr>
            <w:r>
              <w:rPr>
                <w:sz w:val="22"/>
                <w:szCs w:val="22"/>
              </w:rPr>
              <w:t xml:space="preserve">No</w:t>
            </w:r>
          </w:p>
        </w:tc>
        <w:tc>
          <w:tcPr>
            <w:tcW w:type="dxa" w:w="1560"/>
            <w:shd w:fill="FFFFFF" w:color="auto" w:val="clear"/>
          </w:tcPr>
          <w:p>
            <w:pPr>
              <w:spacing w:after="40" w:before="40"/>
            </w:pPr>
            <w:r>
              <w:rPr>
                <w:sz w:val="22"/>
                <w:szCs w:val="22"/>
              </w:rPr>
              <w:t xml:space="preserve">No</w:t>
            </w:r>
          </w:p>
        </w:tc>
        <w:tc>
          <w:tcPr>
            <w:tcW w:type="dxa" w:w="1560"/>
            <w:shd w:fill="FFFFFF" w:color="auto" w:val="clear"/>
          </w:tcPr>
          <w:p>
            <w:pPr>
              <w:spacing w:after="40" w:before="40"/>
            </w:pPr>
            <w:r>
              <w:rPr>
                <w:sz w:val="22"/>
                <w:szCs w:val="22"/>
              </w:rPr>
              <w:t xml:space="preserve">No</w:t>
            </w:r>
          </w:p>
        </w:tc>
        <w:tc>
          <w:tcPr>
            <w:tcW w:type="dxa" w:w="1560"/>
            <w:shd w:fill="FFFFFF" w:color="auto" w:val="clear"/>
          </w:tcPr>
          <w:p>
            <w:pPr>
              <w:spacing w:after="40" w:before="40"/>
            </w:pPr>
            <w:r>
              <w:rPr>
                <w:sz w:val="22"/>
                <w:szCs w:val="22"/>
              </w:rPr>
              <w:t xml:space="preserve">No</w:t>
            </w:r>
          </w:p>
        </w:tc>
      </w:tr>
      <w:tr>
        <w:trPr>
          <w:tblHeader w:val="false"/>
        </w:trPr>
        <w:tc>
          <w:tcPr>
            <w:tcW w:type="dxa" w:w="1560"/>
            <w:shd w:fill="F2F2F2" w:color="auto" w:val="clear"/>
          </w:tcPr>
          <w:p>
            <w:pPr>
              <w:spacing w:after="40" w:before="40"/>
            </w:pPr>
            <w:r>
              <w:rPr>
                <w:sz w:val="22"/>
                <w:szCs w:val="22"/>
              </w:rPr>
              <w:t xml:space="preserve">CWB (province-specific amounts)</w:t>
            </w:r>
          </w:p>
        </w:tc>
        <w:tc>
          <w:tcPr>
            <w:tcW w:type="dxa" w:w="1560"/>
            <w:shd w:fill="F2F2F2" w:color="auto" w:val="clear"/>
          </w:tcPr>
          <w:p>
            <w:pPr>
              <w:spacing w:after="40" w:before="40"/>
            </w:pPr>
            <w:r>
              <w:rPr>
                <w:sz w:val="22"/>
                <w:szCs w:val="22"/>
              </w:rPr>
              <w:t xml:space="preserve">Federal defaults</w:t>
            </w:r>
          </w:p>
        </w:tc>
        <w:tc>
          <w:tcPr>
            <w:tcW w:type="dxa" w:w="1560"/>
            <w:shd w:fill="F2F2F2" w:color="auto" w:val="clear"/>
          </w:tcPr>
          <w:p>
            <w:pPr>
              <w:spacing w:after="40" w:before="40"/>
            </w:pPr>
            <w:r>
              <w:rPr>
                <w:sz w:val="22"/>
                <w:szCs w:val="22"/>
              </w:rPr>
              <w:t xml:space="preserve">BC-specific</w:t>
            </w:r>
          </w:p>
        </w:tc>
        <w:tc>
          <w:tcPr>
            <w:tcW w:type="dxa" w:w="1560"/>
            <w:shd w:fill="F2F2F2" w:color="auto" w:val="clear"/>
          </w:tcPr>
          <w:p>
            <w:pPr>
              <w:spacing w:after="40" w:before="40"/>
            </w:pPr>
            <w:r>
              <w:rPr>
                <w:sz w:val="22"/>
                <w:szCs w:val="22"/>
              </w:rPr>
              <w:t xml:space="preserve">AB-specific</w:t>
            </w:r>
          </w:p>
        </w:tc>
        <w:tc>
          <w:tcPr>
            <w:tcW w:type="dxa" w:w="1560"/>
            <w:shd w:fill="F2F2F2" w:color="auto" w:val="clear"/>
          </w:tcPr>
          <w:p>
            <w:pPr>
              <w:spacing w:after="40" w:before="40"/>
            </w:pPr>
            <w:r>
              <w:rPr>
                <w:sz w:val="22"/>
                <w:szCs w:val="22"/>
              </w:rPr>
              <w:t xml:space="preserve">Federal defaults</w:t>
            </w:r>
          </w:p>
        </w:tc>
        <w:tc>
          <w:tcPr>
            <w:tcW w:type="dxa" w:w="1560"/>
            <w:shd w:fill="F2F2F2" w:color="auto" w:val="clear"/>
          </w:tcPr>
          <w:p>
            <w:pPr>
              <w:spacing w:after="40" w:before="40"/>
            </w:pPr>
            <w:r>
              <w:rPr>
                <w:sz w:val="22"/>
                <w:szCs w:val="22"/>
              </w:rPr>
              <w:t xml:space="preserve">Federal defaults</w:t>
            </w:r>
          </w:p>
        </w:tc>
      </w:tr>
      <w:tr>
        <w:trPr>
          <w:tblHeader w:val="false"/>
        </w:trPr>
        <w:tc>
          <w:tcPr>
            <w:tcW w:type="dxa" w:w="1560"/>
            <w:shd w:fill="FFFFFF" w:color="auto" w:val="clear"/>
          </w:tcPr>
          <w:p>
            <w:pPr>
              <w:spacing w:after="40" w:before="40"/>
            </w:pPr>
            <w:r>
              <w:rPr>
                <w:sz w:val="22"/>
                <w:szCs w:val="22"/>
              </w:rPr>
              <w:t xml:space="preserve">BPA phase-out</w:t>
            </w:r>
          </w:p>
        </w:tc>
        <w:tc>
          <w:tcPr>
            <w:tcW w:type="dxa" w:w="1560"/>
            <w:shd w:fill="FFFFFF" w:color="auto" w:val="clear"/>
          </w:tcPr>
          <w:p>
            <w:pPr>
              <w:spacing w:after="40" w:before="40"/>
            </w:pPr>
            <w:r>
              <w:rPr>
                <w:sz w:val="22"/>
                <w:szCs w:val="22"/>
              </w:rPr>
              <w:t xml:space="preserve">No</w:t>
            </w:r>
          </w:p>
        </w:tc>
        <w:tc>
          <w:tcPr>
            <w:tcW w:type="dxa" w:w="1560"/>
            <w:shd w:fill="FFFFFF" w:color="auto" w:val="clear"/>
          </w:tcPr>
          <w:p>
            <w:pPr>
              <w:spacing w:after="40" w:before="40"/>
            </w:pPr>
            <w:r>
              <w:rPr>
                <w:sz w:val="22"/>
                <w:szCs w:val="22"/>
              </w:rPr>
              <w:t xml:space="preserve">No</w:t>
            </w:r>
          </w:p>
        </w:tc>
        <w:tc>
          <w:tcPr>
            <w:tcW w:type="dxa" w:w="1560"/>
            <w:shd w:fill="FFFFFF" w:color="auto" w:val="clear"/>
          </w:tcPr>
          <w:p>
            <w:pPr>
              <w:spacing w:after="40" w:before="40"/>
            </w:pPr>
            <w:r>
              <w:rPr>
                <w:sz w:val="22"/>
                <w:szCs w:val="22"/>
              </w:rPr>
              <w:t xml:space="preserve">No</w:t>
            </w:r>
          </w:p>
        </w:tc>
        <w:tc>
          <w:tcPr>
            <w:tcW w:type="dxa" w:w="1560"/>
            <w:shd w:fill="FFFFFF" w:color="auto" w:val="clear"/>
          </w:tcPr>
          <w:p>
            <w:pPr>
              <w:spacing w:after="40" w:before="40"/>
            </w:pPr>
            <w:r>
              <w:rPr>
                <w:sz w:val="22"/>
                <w:szCs w:val="22"/>
              </w:rPr>
              <w:t xml:space="preserve">No</w:t>
            </w:r>
          </w:p>
        </w:tc>
        <w:tc>
          <w:tcPr>
            <w:tcW w:type="dxa" w:w="1560"/>
            <w:shd w:fill="FFFFFF" w:color="auto" w:val="clear"/>
          </w:tcPr>
          <w:p>
            <w:pPr>
              <w:spacing w:after="40" w:before="40"/>
            </w:pPr>
            <w:r>
              <w:rPr>
                <w:sz w:val="22"/>
                <w:szCs w:val="22"/>
              </w:rPr>
              <w:t xml:space="preserve">Yes ($200k–$400k)</w:t>
            </w:r>
          </w:p>
        </w:tc>
      </w:tr>
      <w:tr>
        <w:trPr>
          <w:tblHeader w:val="false"/>
        </w:trPr>
        <w:tc>
          <w:tcPr>
            <w:tcW w:type="dxa" w:w="1560"/>
            <w:shd w:fill="F2F2F2" w:color="auto" w:val="clear"/>
          </w:tcPr>
          <w:p>
            <w:pPr>
              <w:spacing w:after="40" w:before="40"/>
            </w:pPr>
            <w:r>
              <w:rPr>
                <w:sz w:val="22"/>
                <w:szCs w:val="22"/>
              </w:rPr>
              <w:t xml:space="preserve">Child amount (per child under 19)</w:t>
            </w:r>
          </w:p>
        </w:tc>
        <w:tc>
          <w:tcPr>
            <w:tcW w:type="dxa" w:w="1560"/>
            <w:shd w:fill="F2F2F2" w:color="auto" w:val="clear"/>
          </w:tcPr>
          <w:p>
            <w:pPr>
              <w:spacing w:after="40" w:before="40"/>
            </w:pPr>
            <w:r>
              <w:rPr>
                <w:sz w:val="22"/>
                <w:szCs w:val="22"/>
              </w:rPr>
              <w:t xml:space="preserve">No</w:t>
            </w:r>
          </w:p>
        </w:tc>
        <w:tc>
          <w:tcPr>
            <w:tcW w:type="dxa" w:w="1560"/>
            <w:shd w:fill="F2F2F2" w:color="auto" w:val="clear"/>
          </w:tcPr>
          <w:p>
            <w:pPr>
              <w:spacing w:after="40" w:before="40"/>
            </w:pPr>
            <w:r>
              <w:rPr>
                <w:sz w:val="22"/>
                <w:szCs w:val="22"/>
              </w:rPr>
              <w:t xml:space="preserve">No</w:t>
            </w:r>
          </w:p>
        </w:tc>
        <w:tc>
          <w:tcPr>
            <w:tcW w:type="dxa" w:w="1560"/>
            <w:shd w:fill="F2F2F2" w:color="auto" w:val="clear"/>
          </w:tcPr>
          <w:p>
            <w:pPr>
              <w:spacing w:after="40" w:before="40"/>
            </w:pPr>
            <w:r>
              <w:rPr>
                <w:sz w:val="22"/>
                <w:szCs w:val="22"/>
              </w:rPr>
              <w:t xml:space="preserve">No</w:t>
            </w:r>
          </w:p>
        </w:tc>
        <w:tc>
          <w:tcPr>
            <w:tcW w:type="dxa" w:w="1560"/>
            <w:shd w:fill="F2F2F2" w:color="auto" w:val="clear"/>
          </w:tcPr>
          <w:p>
            <w:pPr>
              <w:spacing w:after="40" w:before="40"/>
            </w:pPr>
            <w:r>
              <w:rPr>
                <w:sz w:val="22"/>
                <w:szCs w:val="22"/>
              </w:rPr>
              <w:t xml:space="preserve">Yes ($7,704)</w:t>
            </w:r>
          </w:p>
        </w:tc>
        <w:tc>
          <w:tcPr>
            <w:tcW w:type="dxa" w:w="1560"/>
            <w:shd w:fill="F2F2F2" w:color="auto" w:val="clear"/>
          </w:tcPr>
          <w:p>
            <w:pPr>
              <w:spacing w:after="40" w:before="40"/>
            </w:pPr>
            <w:r>
              <w:rPr>
                <w:sz w:val="22"/>
                <w:szCs w:val="22"/>
              </w:rPr>
              <w:t xml:space="preserve">No</w:t>
            </w:r>
          </w:p>
        </w:tc>
      </w:tr>
      <w:tr>
        <w:trPr>
          <w:tblHeader w:val="false"/>
        </w:trPr>
        <w:tc>
          <w:tcPr>
            <w:tcW w:type="dxa" w:w="1560"/>
            <w:shd w:fill="FFFFFF" w:color="auto" w:val="clear"/>
          </w:tcPr>
          <w:p>
            <w:pPr>
              <w:spacing w:after="40" w:before="40"/>
            </w:pPr>
            <w:r>
              <w:rPr>
                <w:sz w:val="22"/>
                <w:szCs w:val="22"/>
              </w:rPr>
              <w:t xml:space="preserve">Senior supplement</w:t>
            </w:r>
          </w:p>
        </w:tc>
        <w:tc>
          <w:tcPr>
            <w:tcW w:type="dxa" w:w="1560"/>
            <w:shd w:fill="FFFFFF" w:color="auto" w:val="clear"/>
          </w:tcPr>
          <w:p>
            <w:pPr>
              <w:spacing w:after="40" w:before="40"/>
            </w:pPr>
            <w:r>
              <w:rPr>
                <w:sz w:val="22"/>
                <w:szCs w:val="22"/>
              </w:rPr>
              <w:t xml:space="preserve">No</w:t>
            </w:r>
          </w:p>
        </w:tc>
        <w:tc>
          <w:tcPr>
            <w:tcW w:type="dxa" w:w="1560"/>
            <w:shd w:fill="FFFFFF" w:color="auto" w:val="clear"/>
          </w:tcPr>
          <w:p>
            <w:pPr>
              <w:spacing w:after="40" w:before="40"/>
            </w:pPr>
            <w:r>
              <w:rPr>
                <w:sz w:val="22"/>
                <w:szCs w:val="22"/>
              </w:rPr>
              <w:t xml:space="preserve">No</w:t>
            </w:r>
          </w:p>
        </w:tc>
        <w:tc>
          <w:tcPr>
            <w:tcW w:type="dxa" w:w="1560"/>
            <w:shd w:fill="FFFFFF" w:color="auto" w:val="clear"/>
          </w:tcPr>
          <w:p>
            <w:pPr>
              <w:spacing w:after="40" w:before="40"/>
            </w:pPr>
            <w:r>
              <w:rPr>
                <w:sz w:val="22"/>
                <w:szCs w:val="22"/>
              </w:rPr>
              <w:t xml:space="preserve">No</w:t>
            </w:r>
          </w:p>
        </w:tc>
        <w:tc>
          <w:tcPr>
            <w:tcW w:type="dxa" w:w="1560"/>
            <w:shd w:fill="FFFFFF" w:color="auto" w:val="clear"/>
          </w:tcPr>
          <w:p>
            <w:pPr>
              <w:spacing w:after="40" w:before="40"/>
            </w:pPr>
            <w:r>
              <w:rPr>
                <w:sz w:val="22"/>
                <w:szCs w:val="22"/>
              </w:rPr>
              <w:t xml:space="preserve">Yes ($2,028)</w:t>
            </w:r>
          </w:p>
        </w:tc>
        <w:tc>
          <w:tcPr>
            <w:tcW w:type="dxa" w:w="1560"/>
            <w:shd w:fill="FFFFFF" w:color="auto" w:val="clear"/>
          </w:tcPr>
          <w:p>
            <w:pPr>
              <w:spacing w:after="40" w:before="40"/>
            </w:pPr>
            <w:r>
              <w:rPr>
                <w:sz w:val="22"/>
                <w:szCs w:val="22"/>
              </w:rPr>
              <w:t xml:space="preserve">No</w:t>
            </w:r>
          </w:p>
        </w:tc>
      </w:tr>
    </w:tbl>
    <w:p>
      <w:pPr>
        <w:spacing w:after="120"/>
      </w:pPr>
    </w:p>
    <w:p>
      <w:pPr>
        <w:pBdr>
          <w:bottom w:val="single" w:color="BFBFBF" w:sz="6"/>
        </w:pBdr>
        <w:spacing w:after="120" w:before="120"/>
      </w:pPr>
    </w:p>
    <w:p>
      <w:pPr>
        <w:pStyle w:val="Heading2"/>
        <w:spacing w:after="120" w:before="240"/>
      </w:pPr>
      <w:r>
        <w:rPr>
          <w:sz w:val="22"/>
          <w:szCs w:val="22"/>
        </w:rPr>
        <w:t xml:space="preserve">How to add a new tax year</w:t>
      </w:r>
    </w:p>
    <w:p>
      <w:pPr>
        <w:spacing w:after="120" w:line="276"/>
      </w:pPr>
      <w:r>
        <w:rPr>
          <w:sz w:val="22"/>
          <w:szCs w:val="22"/>
        </w:rPr>
        <w:t xml:space="preserve">Adding a new tax year requires updating the constants data — no code changes are needed unless Parliament changes a structural rate.</w:t>
      </w:r>
    </w:p>
    <w:p>
      <w:pPr>
        <w:pStyle w:val="Heading3"/>
        <w:spacing w:after="120" w:before="240"/>
      </w:pPr>
      <w:r>
        <w:rPr>
          <w:sz w:val="22"/>
          <w:szCs w:val="22"/>
        </w:rPr>
        <w:t xml:space="preserve">Step 1 — Update tax_constants.json</w:t>
      </w:r>
    </w:p>
    <w:p>
      <w:pPr>
        <w:spacing w:after="60"/>
        <w:ind w:left="360"/>
      </w:pPr>
      <w:r>
        <w:rPr>
          <w:sz w:val="22"/>
          <w:szCs w:val="22"/>
        </w:rPr>
        <w:t xml:space="preserve">1. Open </w:t>
      </w:r>
      <w:r>
        <w:rPr>
          <w:color w:val="2B579A"/>
          <w:sz w:val="22"/>
          <w:szCs w:val="22"/>
          <w:u w:val="single"/>
        </w:rPr>
        <w:t xml:space="preserve">tax_constants.json</w:t>
      </w:r>
      <w:r>
        <w:rPr>
          <w:sz w:val="22"/>
          <w:szCs w:val="22"/>
        </w:rPr>
        <w:t xml:space="preserve">.</w:t>
      </w:r>
    </w:p>
    <w:p>
      <w:pPr>
        <w:spacing w:after="60"/>
        <w:ind w:left="360"/>
      </w:pPr>
      <w:r>
        <w:rPr>
          <w:sz w:val="22"/>
          <w:szCs w:val="22"/>
        </w:rPr>
        <w:t xml:space="preserve">2. Copy the most recent year's block (e.g. </w:t>
      </w:r>
      <w:r>
        <w:rPr>
          <w:rFonts w:ascii="Courier New" w:cs="Courier New" w:eastAsia="Courier New" w:hAnsi="Courier New"/>
          <w:sz w:val="20"/>
          <w:szCs w:val="20"/>
          <w:shd w:fill="E8E8E8" w:color="auto" w:val="clear"/>
        </w:rPr>
        <w:t xml:space="preserve">"2025": {...}</w:t>
      </w:r>
      <w:r>
        <w:rPr>
          <w:sz w:val="22"/>
          <w:szCs w:val="22"/>
        </w:rPr>
        <w:t xml:space="preserve">).</w:t>
      </w:r>
    </w:p>
    <w:p>
      <w:pPr>
        <w:spacing w:after="60"/>
        <w:ind w:left="360"/>
      </w:pPr>
      <w:r>
        <w:rPr>
          <w:sz w:val="22"/>
          <w:szCs w:val="22"/>
        </w:rPr>
        <w:t xml:space="preserve">3. Add a new top-level key (e.g. </w:t>
      </w:r>
      <w:r>
        <w:rPr>
          <w:rFonts w:ascii="Courier New" w:cs="Courier New" w:eastAsia="Courier New" w:hAnsi="Courier New"/>
          <w:sz w:val="20"/>
          <w:szCs w:val="20"/>
          <w:shd w:fill="E8E8E8" w:color="auto" w:val="clear"/>
        </w:rPr>
        <w:t xml:space="preserve">"2026"</w:t>
      </w:r>
      <w:r>
        <w:rPr>
          <w:sz w:val="22"/>
          <w:szCs w:val="22"/>
        </w:rPr>
        <w:t xml:space="preserve">).</w:t>
      </w:r>
    </w:p>
    <w:p>
      <w:pPr>
        <w:spacing w:after="60"/>
        <w:ind w:left="360"/>
      </w:pPr>
      <w:r>
        <w:rPr>
          <w:sz w:val="22"/>
          <w:szCs w:val="22"/>
        </w:rPr>
        <w:t xml:space="preserve">4. Update every value that changed for the new year. The key names and JSON</w:t>
      </w:r>
    </w:p>
    <w:p>
      <w:pPr>
        <w:spacing w:after="120" w:line="276"/>
      </w:pPr>
      <w:r>
        <w:rPr>
          <w:sz w:val="22"/>
          <w:szCs w:val="22"/>
        </w:rPr>
        <w:t xml:space="preserve">   structure must stay the same — only the values change.</w:t>
      </w:r>
    </w:p>
    <w:p>
      <w:pPr>
        <w:spacing w:after="60"/>
        <w:ind w:left="360"/>
      </w:pPr>
      <w:r>
        <w:rPr>
          <w:sz w:val="22"/>
          <w:szCs w:val="22"/>
        </w:rPr>
        <w:t xml:space="preserve">5. Update the comment keys with new source references if applicable.</w:t>
      </w:r>
    </w:p>
    <w:p>
      <w:pPr>
        <w:pStyle w:val="Heading3"/>
        <w:spacing w:after="120" w:before="240"/>
      </w:pPr>
      <w:r>
        <w:rPr>
          <w:sz w:val="22"/>
          <w:szCs w:val="22"/>
        </w:rPr>
        <w:t xml:space="preserve">Step 2 — Seed the database</w:t>
      </w:r>
    </w:p>
    <w:p>
      <w:pPr>
        <w:spacing w:after="120" w:line="276"/>
      </w:pPr>
      <w:r>
        <w:rPr>
          <w:sz w:val="22"/>
          <w:szCs w:val="22"/>
        </w:rPr>
        <w:t xml:space="preserve">Run the seed script to load the new year into the </w:t>
      </w:r>
      <w:r>
        <w:rPr>
          <w:rFonts w:ascii="Courier New" w:cs="Courier New" w:eastAsia="Courier New" w:hAnsi="Courier New"/>
          <w:sz w:val="20"/>
          <w:szCs w:val="20"/>
          <w:shd w:fill="E8E8E8" w:color="auto" w:val="clear"/>
        </w:rPr>
        <w:t xml:space="preserve">TaxConstant</w:t>
      </w:r>
      <w:r>
        <w:rPr>
          <w:sz w:val="22"/>
          <w:szCs w:val="22"/>
        </w:rPr>
        <w:t xml:space="preserve"> table:</w:t>
      </w:r>
    </w:p>
    <w:p>
      <w:pPr>
        <w:pBdr>
          <w:top w:val="single" w:color="D0D0D0" w:sz="1"/>
          <w:bottom w:val="single" w:color="D0D0D0" w:sz="1"/>
          <w:left w:val="single" w:color="D0D0D0" w:sz="1"/>
          <w:right w:val="single" w:color="D0D0D0" w:sz="1"/>
        </w:pBdr>
        <w:shd w:fill="F5F5F5" w:color="auto" w:val="clear"/>
        <w:spacing w:after="120"/>
        <w:ind w:left="360"/>
      </w:pPr>
      <w:r>
        <w:rPr>
          <w:rFonts w:ascii="Courier New" w:cs="Courier New" w:eastAsia="Courier New" w:hAnsi="Courier New"/>
          <w:sz w:val="18"/>
          <w:szCs w:val="18"/>
        </w:rPr>
        <w:t xml:space="preserve">node auth-server/scripts/seed-tax-constants.js</w:t>
      </w:r>
    </w:p>
    <w:p>
      <w:pPr>
        <w:spacing w:after="120" w:line="276"/>
      </w:pPr>
      <w:r>
        <w:rPr>
          <w:sz w:val="22"/>
          <w:szCs w:val="22"/>
        </w:rPr>
        <w:t xml:space="preserve">Alternatively, use the SuperAdmin UI at </w:t>
      </w:r>
      <w:r>
        <w:rPr>
          <w:rFonts w:ascii="Courier New" w:cs="Courier New" w:eastAsia="Courier New" w:hAnsi="Courier New"/>
          <w:sz w:val="20"/>
          <w:szCs w:val="20"/>
          <w:shd w:fill="E8E8E8" w:color="auto" w:val="clear"/>
        </w:rPr>
        <w:t xml:space="preserve">/superadmin/tax-constants</w:t>
      </w:r>
      <w:r>
        <w:rPr>
          <w:sz w:val="22"/>
          <w:szCs w:val="22"/>
        </w:rPr>
        <w:t xml:space="preserve"> to edit constants directly in the database.</w:t>
      </w:r>
    </w:p>
    <w:p>
      <w:pPr>
        <w:pStyle w:val="Heading3"/>
        <w:spacing w:after="120" w:before="240"/>
      </w:pPr>
      <w:r>
        <w:rPr>
          <w:sz w:val="22"/>
          <w:szCs w:val="22"/>
        </w:rPr>
        <w:t xml:space="preserve">Step 3 — Update the frontend dynamic values</w:t>
      </w:r>
    </w:p>
    <w:p>
      <w:pPr>
        <w:spacing w:after="120" w:line="276"/>
      </w:pPr>
      <w:r>
        <w:rPr>
          <w:sz w:val="22"/>
          <w:szCs w:val="22"/>
        </w:rPr>
        <w:t xml:space="preserve">The frontend fetches constants from the auth-server database. Once the database is seeded, the frontend will automatically pick up the new year when the user selects it in the calculator.</w:t>
      </w:r>
    </w:p>
    <w:p>
      <w:pPr>
        <w:pStyle w:val="Heading3"/>
        <w:spacing w:after="120" w:before="240"/>
      </w:pPr>
      <w:r>
        <w:rPr>
          <w:sz w:val="22"/>
          <w:szCs w:val="22"/>
        </w:rPr>
        <w:t xml:space="preserve">Step 4 — Verify</w:t>
      </w:r>
    </w:p>
    <w:p>
      <w:pPr>
        <w:pStyle w:val="ListParagraph"/>
        <w:numPr>
          <w:ilvl w:val="0"/>
          <w:numId w:val="1"/>
        </w:numPr>
        <w:spacing w:after="60"/>
      </w:pPr>
      <w:r>
        <w:rPr>
          <w:sz w:val="22"/>
          <w:szCs w:val="22"/>
        </w:rPr>
        <w:t xml:space="preserve">Run the backend test suite to check calculations against known-good values.</w:t>
      </w:r>
    </w:p>
    <w:p>
      <w:pPr>
        <w:pStyle w:val="ListParagraph"/>
        <w:numPr>
          <w:ilvl w:val="0"/>
          <w:numId w:val="1"/>
        </w:numPr>
        <w:spacing w:after="60"/>
      </w:pPr>
      <w:r>
        <w:rPr>
          <w:sz w:val="22"/>
          <w:szCs w:val="22"/>
        </w:rPr>
        <w:t xml:space="preserve">Compare results with the reference Excel spreadsheet for the new year.</w:t>
      </w:r>
    </w:p>
    <w:p>
      <w:pPr>
        <w:pStyle w:val="ListParagraph"/>
        <w:numPr>
          <w:ilvl w:val="0"/>
          <w:numId w:val="1"/>
        </w:numPr>
        <w:spacing w:after="60"/>
      </w:pPr>
      <w:r>
        <w:rPr>
          <w:sz w:val="22"/>
          <w:szCs w:val="22"/>
        </w:rPr>
        <w:t xml:space="preserve">Test both the AI chat tax calculator and the in-app calculator screens.</w:t>
      </w:r>
    </w:p>
    <w:p>
      <w:pPr>
        <w:pBdr>
          <w:bottom w:val="single" w:color="BFBFBF" w:sz="6"/>
        </w:pBdr>
        <w:spacing w:after="120" w:before="120"/>
      </w:pPr>
    </w:p>
    <w:p>
      <w:pPr>
        <w:pStyle w:val="Heading2"/>
        <w:spacing w:after="120" w:before="240"/>
      </w:pPr>
      <w:r>
        <w:rPr>
          <w:sz w:val="22"/>
          <w:szCs w:val="22"/>
        </w:rPr>
        <w:t xml:space="preserve">How to add a new province</w:t>
      </w:r>
    </w:p>
    <w:p>
      <w:pPr>
        <w:spacing w:after="120" w:line="276"/>
      </w:pPr>
      <w:r>
        <w:rPr>
          <w:sz w:val="22"/>
          <w:szCs w:val="22"/>
        </w:rPr>
        <w:t xml:space="preserve">Adding a new province requires both data and code changes.</w:t>
      </w:r>
    </w:p>
    <w:p>
      <w:pPr>
        <w:pStyle w:val="Heading3"/>
        <w:spacing w:after="120" w:before="240"/>
      </w:pPr>
      <w:r>
        <w:rPr>
          <w:sz w:val="22"/>
          <w:szCs w:val="22"/>
        </w:rPr>
        <w:t xml:space="preserve">1. Tax constants</w:t>
      </w:r>
    </w:p>
    <w:p>
      <w:pPr>
        <w:spacing w:after="120" w:line="276"/>
      </w:pPr>
      <w:r>
        <w:rPr>
          <w:sz w:val="22"/>
          <w:szCs w:val="22"/>
        </w:rPr>
        <w:t xml:space="preserve">Add the province's constants to </w:t>
      </w:r>
      <w:r>
        <w:rPr>
          <w:color w:val="2B579A"/>
          <w:sz w:val="22"/>
          <w:szCs w:val="22"/>
          <w:u w:val="single"/>
        </w:rPr>
        <w:t xml:space="preserve">tax_constants.json</w:t>
      </w:r>
      <w:r>
        <w:rPr>
          <w:sz w:val="22"/>
          <w:szCs w:val="22"/>
        </w:rPr>
        <w:t xml:space="preserve">:</w:t>
      </w:r>
    </w:p>
    <w:p>
      <w:pPr>
        <w:pStyle w:val="ListParagraph"/>
        <w:numPr>
          <w:ilvl w:val="0"/>
          <w:numId w:val="1"/>
        </w:numPr>
        <w:spacing w:after="60"/>
      </w:pPr>
      <w:r>
        <w:rPr>
          <w:sz w:val="22"/>
          <w:szCs w:val="22"/>
        </w:rPr>
        <w:t xml:space="preserve">Provincial bracket table (e.g. </w:t>
      </w:r>
      <w:r>
        <w:rPr>
          <w:rFonts w:ascii="Courier New" w:cs="Courier New" w:eastAsia="Courier New" w:hAnsi="Courier New"/>
          <w:sz w:val="20"/>
          <w:szCs w:val="20"/>
          <w:shd w:fill="E8E8E8" w:color="auto" w:val="clear"/>
        </w:rPr>
        <w:t xml:space="preserve">"XX_BRACKETS"</w:t>
      </w:r>
      <w:r>
        <w:rPr>
          <w:sz w:val="22"/>
          <w:szCs w:val="22"/>
        </w:rPr>
        <w:t xml:space="preserve">)</w:t>
      </w:r>
    </w:p>
    <w:p>
      <w:pPr>
        <w:pStyle w:val="ListParagraph"/>
        <w:numPr>
          <w:ilvl w:val="0"/>
          <w:numId w:val="1"/>
        </w:numPr>
        <w:spacing w:after="60"/>
      </w:pPr>
      <w:r>
        <w:rPr>
          <w:sz w:val="22"/>
          <w:szCs w:val="22"/>
        </w:rPr>
        <w:t xml:space="preserve">Basic personal amount, eligible dependent amount, disability amount</w:t>
      </w:r>
    </w:p>
    <w:p>
      <w:pPr>
        <w:pStyle w:val="ListParagraph"/>
        <w:numPr>
          <w:ilvl w:val="0"/>
          <w:numId w:val="1"/>
        </w:numPr>
        <w:spacing w:after="60"/>
      </w:pPr>
      <w:r>
        <w:rPr>
          <w:sz w:val="22"/>
          <w:szCs w:val="22"/>
        </w:rPr>
        <w:t xml:space="preserve">Age amount base and threshold</w:t>
      </w:r>
    </w:p>
    <w:p>
      <w:pPr>
        <w:pStyle w:val="ListParagraph"/>
        <w:numPr>
          <w:ilvl w:val="0"/>
          <w:numId w:val="1"/>
        </w:numPr>
        <w:spacing w:after="60"/>
      </w:pPr>
      <w:r>
        <w:rPr>
          <w:sz w:val="22"/>
          <w:szCs w:val="22"/>
        </w:rPr>
        <w:t xml:space="preserve">Provincial credit rate</w:t>
      </w:r>
    </w:p>
    <w:p>
      <w:pPr>
        <w:pStyle w:val="ListParagraph"/>
        <w:numPr>
          <w:ilvl w:val="0"/>
          <w:numId w:val="1"/>
        </w:numPr>
        <w:spacing w:after="60"/>
      </w:pPr>
      <w:r>
        <w:rPr>
          <w:sz w:val="22"/>
          <w:szCs w:val="22"/>
        </w:rPr>
        <w:t xml:space="preserve">Any province-specific benefit amounts (child benefit, sales tax credit,</w:t>
      </w:r>
    </w:p>
    <w:p>
      <w:pPr>
        <w:spacing w:after="120" w:line="276"/>
      </w:pPr>
      <w:r>
        <w:rPr>
          <w:sz w:val="22"/>
          <w:szCs w:val="22"/>
        </w:rPr>
        <w:t xml:space="preserve">  climate action)</w:t>
      </w:r>
    </w:p>
    <w:p>
      <w:pPr>
        <w:pStyle w:val="ListParagraph"/>
        <w:numPr>
          <w:ilvl w:val="0"/>
          <w:numId w:val="1"/>
        </w:numPr>
        <w:spacing w:after="60"/>
      </w:pPr>
      <w:r>
        <w:rPr>
          <w:sz w:val="22"/>
          <w:szCs w:val="22"/>
        </w:rPr>
        <w:t xml:space="preserve">Province-specific CWB amounts if they differ from federal defaults</w:t>
      </w:r>
    </w:p>
    <w:p>
      <w:pPr>
        <w:pStyle w:val="Heading3"/>
        <w:spacing w:after="120" w:before="240"/>
      </w:pPr>
      <w:r>
        <w:rPr>
          <w:sz w:val="22"/>
          <w:szCs w:val="22"/>
        </w:rPr>
        <w:t xml:space="preserve">2. Backend code (tax.py)</w:t>
      </w:r>
    </w:p>
    <w:p>
      <w:pPr>
        <w:spacing w:after="120" w:line="276"/>
      </w:pPr>
      <w:r>
        <w:rPr>
          <w:sz w:val="22"/>
          <w:szCs w:val="22"/>
        </w:rPr>
        <w:t xml:space="preserve">Add to </w:t>
      </w:r>
      <w:r>
        <w:rPr>
          <w:color w:val="2B579A"/>
          <w:sz w:val="22"/>
          <w:szCs w:val="22"/>
          <w:u w:val="single"/>
        </w:rPr>
        <w:t xml:space="preserve">tax.py</w:t>
      </w:r>
      <w:r>
        <w:rPr>
          <w:sz w:val="22"/>
          <w:szCs w:val="22"/>
        </w:rPr>
        <w:t xml:space="preserve">:</w:t>
      </w:r>
    </w:p>
    <w:p>
      <w:pPr>
        <w:spacing w:after="60"/>
        <w:ind w:left="360"/>
      </w:pPr>
      <w:r>
        <w:rPr>
          <w:sz w:val="22"/>
          <w:szCs w:val="22"/>
        </w:rPr>
        <w:t xml:space="preserve">1. </w:t>
      </w:r>
      <w:r>
        <w:rPr>
          <w:b/>
          <w:bCs/>
          <w:sz w:val="22"/>
          <w:szCs w:val="22"/>
        </w:rPr>
        <w:t xml:space="preserve">Structural rates</w:t>
      </w:r>
      <w:r>
        <w:rPr>
          <w:sz w:val="22"/>
          <w:szCs w:val="22"/>
        </w:rPr>
        <w:t xml:space="preserve"> in Section B (credit rate, reduction rates, etc.)</w:t>
      </w:r>
    </w:p>
    <w:p>
      <w:pPr>
        <w:spacing w:after="60"/>
        <w:ind w:left="360"/>
      </w:pPr>
      <w:r>
        <w:rPr>
          <w:sz w:val="22"/>
          <w:szCs w:val="22"/>
        </w:rPr>
        <w:t xml:space="preserve">2. </w:t>
      </w:r>
      <w:r>
        <w:rPr>
          <w:b/>
          <w:bCs/>
          <w:sz w:val="22"/>
          <w:szCs w:val="22"/>
        </w:rPr>
        <w:t xml:space="preserve">Credit functions:</w:t>
      </w:r>
      <w:r>
        <w:rPr>
          <w:sz w:val="22"/>
          <w:szCs w:val="22"/>
        </w:rPr>
        <w:t xml:space="preserve"> </w:t>
      </w:r>
      <w:r>
        <w:rPr>
          <w:rFonts w:ascii="Courier New" w:cs="Courier New" w:eastAsia="Courier New" w:hAnsi="Courier New"/>
          <w:sz w:val="20"/>
          <w:szCs w:val="20"/>
          <w:shd w:fill="E8E8E8" w:color="auto" w:val="clear"/>
        </w:rPr>
        <w:t xml:space="preserve">_eligible_dependent_xx()</w:t>
      </w:r>
      <w:r>
        <w:rPr>
          <w:sz w:val="22"/>
          <w:szCs w:val="22"/>
        </w:rPr>
        <w:t xml:space="preserve">, </w:t>
      </w:r>
      <w:r>
        <w:rPr>
          <w:rFonts w:ascii="Courier New" w:cs="Courier New" w:eastAsia="Courier New" w:hAnsi="Courier New"/>
          <w:sz w:val="20"/>
          <w:szCs w:val="20"/>
          <w:shd w:fill="E8E8E8" w:color="auto" w:val="clear"/>
        </w:rPr>
        <w:t xml:space="preserve">_age_amount_xx()</w:t>
      </w:r>
      <w:r>
        <w:rPr>
          <w:sz w:val="22"/>
          <w:szCs w:val="22"/>
        </w:rPr>
        <w:t xml:space="preserve">,</w:t>
      </w:r>
    </w:p>
    <w:p>
      <w:pPr>
        <w:spacing w:after="120" w:line="276"/>
      </w:pPr>
      <w:r>
        <w:rPr>
          <w:sz w:val="22"/>
          <w:szCs w:val="22"/>
        </w:rPr>
        <w:t xml:space="preserve">   </w:t>
      </w:r>
      <w:r>
        <w:rPr>
          <w:rFonts w:ascii="Courier New" w:cs="Courier New" w:eastAsia="Courier New" w:hAnsi="Courier New"/>
          <w:sz w:val="20"/>
          <w:szCs w:val="20"/>
          <w:shd w:fill="E8E8E8" w:color="auto" w:val="clear"/>
        </w:rPr>
        <w:t xml:space="preserve">_total_xx_credits()</w:t>
      </w:r>
    </w:p>
    <w:p>
      <w:pPr>
        <w:spacing w:after="60"/>
        <w:ind w:left="360"/>
      </w:pPr>
      <w:r>
        <w:rPr>
          <w:sz w:val="22"/>
          <w:szCs w:val="22"/>
        </w:rPr>
        <w:t xml:space="preserve">3. </w:t>
      </w:r>
      <w:r>
        <w:rPr>
          <w:b/>
          <w:bCs/>
          <w:sz w:val="22"/>
          <w:szCs w:val="22"/>
        </w:rPr>
        <w:t xml:space="preserve">Provincial tax function:</w:t>
      </w:r>
      <w:r>
        <w:rPr>
          <w:sz w:val="22"/>
          <w:szCs w:val="22"/>
        </w:rPr>
        <w:t xml:space="preserve"> </w:t>
      </w:r>
      <w:r>
        <w:rPr>
          <w:rFonts w:ascii="Courier New" w:cs="Courier New" w:eastAsia="Courier New" w:hAnsi="Courier New"/>
          <w:sz w:val="20"/>
          <w:szCs w:val="20"/>
          <w:shd w:fill="E8E8E8" w:color="auto" w:val="clear"/>
        </w:rPr>
        <w:t xml:space="preserve">calculate_xx_tax()</w:t>
      </w:r>
    </w:p>
    <w:p>
      <w:pPr>
        <w:spacing w:after="60"/>
        <w:ind w:left="360"/>
      </w:pPr>
      <w:r>
        <w:rPr>
          <w:sz w:val="22"/>
          <w:szCs w:val="22"/>
        </w:rPr>
        <w:t xml:space="preserve">4. </w:t>
      </w:r>
      <w:r>
        <w:rPr>
          <w:b/>
          <w:bCs/>
          <w:sz w:val="22"/>
          <w:szCs w:val="22"/>
        </w:rPr>
        <w:t xml:space="preserve">Benefit functions:</w:t>
      </w:r>
      <w:r>
        <w:rPr>
          <w:sz w:val="22"/>
          <w:szCs w:val="22"/>
        </w:rPr>
        <w:t xml:space="preserve"> child benefit, sales tax credit, climate action as</w:t>
      </w:r>
    </w:p>
    <w:p>
      <w:pPr>
        <w:spacing w:after="120" w:line="276"/>
      </w:pPr>
      <w:r>
        <w:rPr>
          <w:sz w:val="22"/>
          <w:szCs w:val="22"/>
        </w:rPr>
        <w:t xml:space="preserve">   applicable</w:t>
      </w:r>
    </w:p>
    <w:p>
      <w:pPr>
        <w:spacing w:after="60"/>
        <w:ind w:left="360"/>
      </w:pPr>
      <w:r>
        <w:rPr>
          <w:sz w:val="22"/>
          <w:szCs w:val="22"/>
        </w:rPr>
        <w:t xml:space="preserve">5. </w:t>
      </w:r>
      <w:r>
        <w:rPr>
          <w:b/>
          <w:bCs/>
          <w:sz w:val="22"/>
          <w:szCs w:val="22"/>
        </w:rPr>
        <w:t xml:space="preserve">Branch in `calculate_taxes()`:</w:t>
      </w:r>
      <w:r>
        <w:rPr>
          <w:sz w:val="22"/>
          <w:szCs w:val="22"/>
        </w:rPr>
        <w:t xml:space="preserve"> Add </w:t>
      </w:r>
      <w:r>
        <w:rPr>
          <w:rFonts w:ascii="Courier New" w:cs="Courier New" w:eastAsia="Courier New" w:hAnsi="Courier New"/>
          <w:sz w:val="20"/>
          <w:szCs w:val="20"/>
          <w:shd w:fill="E8E8E8" w:color="auto" w:val="clear"/>
        </w:rPr>
        <w:t xml:space="preserve">elif province == "XX":</w:t>
      </w:r>
      <w:r>
        <w:rPr>
          <w:sz w:val="22"/>
          <w:szCs w:val="22"/>
        </w:rPr>
        <w:t xml:space="preserve"> blocks in</w:t>
      </w:r>
    </w:p>
    <w:p>
      <w:pPr>
        <w:spacing w:after="120" w:line="276"/>
      </w:pPr>
      <w:r>
        <w:rPr>
          <w:sz w:val="22"/>
          <w:szCs w:val="22"/>
        </w:rPr>
        <w:t xml:space="preserve">   steps 4, 6, 8, 9, 9b, and 11 where province-specific logic is dispatched.</w:t>
      </w:r>
    </w:p>
    <w:p>
      <w:pPr>
        <w:pStyle w:val="Heading3"/>
        <w:spacing w:after="120" w:before="240"/>
      </w:pPr>
      <w:r>
        <w:rPr>
          <w:sz w:val="22"/>
          <w:szCs w:val="22"/>
        </w:rPr>
        <w:t xml:space="preserve">3. Frontend code</w:t>
      </w:r>
    </w:p>
    <w:p>
      <w:pPr>
        <w:spacing w:after="120" w:line="276"/>
      </w:pPr>
      <w:r>
        <w:rPr>
          <w:sz w:val="22"/>
          <w:szCs w:val="22"/>
        </w:rPr>
        <w:t xml:space="preserve">Add corresponding TypeScript implementations:</w:t>
      </w:r>
    </w:p>
    <w:p>
      <w:pPr>
        <w:pStyle w:val="ListParagraph"/>
        <w:numPr>
          <w:ilvl w:val="0"/>
          <w:numId w:val="1"/>
        </w:numPr>
        <w:spacing w:after="60"/>
      </w:pPr>
      <w:r>
        <w:rPr>
          <w:sz w:val="22"/>
          <w:szCs w:val="22"/>
        </w:rPr>
        <w:t xml:space="preserve">Provincial tax function in </w:t>
      </w:r>
      <w:r>
        <w:rPr>
          <w:rFonts w:ascii="Courier New" w:cs="Courier New" w:eastAsia="Courier New" w:hAnsi="Courier New"/>
          <w:sz w:val="20"/>
          <w:szCs w:val="20"/>
          <w:shd w:fill="E8E8E8" w:color="auto" w:val="clear"/>
        </w:rPr>
        <w:t xml:space="preserve">provincialTax.ts</w:t>
      </w:r>
    </w:p>
    <w:p>
      <w:pPr>
        <w:pStyle w:val="ListParagraph"/>
        <w:numPr>
          <w:ilvl w:val="0"/>
          <w:numId w:val="1"/>
        </w:numPr>
        <w:spacing w:after="60"/>
      </w:pPr>
      <w:r>
        <w:rPr>
          <w:sz w:val="22"/>
          <w:szCs w:val="22"/>
        </w:rPr>
        <w:t xml:space="preserve">Benefit formulas as needed</w:t>
      </w:r>
    </w:p>
    <w:p>
      <w:pPr>
        <w:pStyle w:val="ListParagraph"/>
        <w:numPr>
          <w:ilvl w:val="0"/>
          <w:numId w:val="1"/>
        </w:numPr>
        <w:spacing w:after="60"/>
      </w:pPr>
      <w:r>
        <w:rPr>
          <w:sz w:val="22"/>
          <w:szCs w:val="22"/>
        </w:rPr>
        <w:t xml:space="preserve">Dynamic values interface additions in </w:t>
      </w:r>
      <w:r>
        <w:rPr>
          <w:rFonts w:ascii="Courier New" w:cs="Courier New" w:eastAsia="Courier New" w:hAnsi="Courier New"/>
          <w:sz w:val="20"/>
          <w:szCs w:val="20"/>
          <w:shd w:fill="E8E8E8" w:color="auto" w:val="clear"/>
        </w:rPr>
        <w:t xml:space="preserve">creditTaxCalculationFormulas.ts</w:t>
      </w:r>
    </w:p>
    <w:p>
      <w:pPr>
        <w:pStyle w:val="Heading3"/>
        <w:spacing w:after="120" w:before="240"/>
      </w:pPr>
      <w:r>
        <w:rPr>
          <w:sz w:val="22"/>
          <w:szCs w:val="22"/>
        </w:rPr>
        <w:t xml:space="preserve">4. Schedule I data</w:t>
      </w:r>
    </w:p>
    <w:p>
      <w:pPr>
        <w:spacing w:after="120" w:line="276"/>
      </w:pPr>
      <w:r>
        <w:rPr>
          <w:sz w:val="22"/>
          <w:szCs w:val="22"/>
        </w:rPr>
        <w:t xml:space="preserve">Add Schedule I rows for the new province to </w:t>
      </w:r>
      <w:r>
        <w:rPr>
          <w:color w:val="2B579A"/>
          <w:sz w:val="22"/>
          <w:szCs w:val="22"/>
          <w:u w:val="single"/>
        </w:rPr>
        <w:t xml:space="preserve">schedule_i.json</w:t>
      </w:r>
      <w:r>
        <w:rPr>
          <w:sz w:val="22"/>
          <w:szCs w:val="22"/>
        </w:rPr>
        <w:t xml:space="preserve"> with </w:t>
      </w:r>
      <w:r>
        <w:rPr>
          <w:rFonts w:ascii="Courier New" w:cs="Courier New" w:eastAsia="Courier New" w:hAnsi="Courier New"/>
          <w:sz w:val="20"/>
          <w:szCs w:val="20"/>
          <w:shd w:fill="E8E8E8" w:color="auto" w:val="clear"/>
        </w:rPr>
        <w:t xml:space="preserve">"province": "XX"</w:t>
      </w:r>
      <w:r>
        <w:rPr>
          <w:sz w:val="22"/>
          <w:szCs w:val="22"/>
        </w:rPr>
        <w:t xml:space="preserve">.</w:t>
      </w:r>
    </w:p>
    <w:p>
      <w:pPr>
        <w:pStyle w:val="Heading3"/>
        <w:spacing w:after="120" w:before="240"/>
      </w:pPr>
      <w:r>
        <w:rPr>
          <w:sz w:val="22"/>
          <w:szCs w:val="22"/>
        </w:rPr>
        <w:t xml:space="preserve">5. AI chat prompts</w:t>
      </w:r>
    </w:p>
    <w:p>
      <w:pPr>
        <w:spacing w:after="120" w:line="276"/>
      </w:pPr>
      <w:r>
        <w:rPr>
          <w:sz w:val="22"/>
          <w:szCs w:val="22"/>
        </w:rPr>
        <w:t xml:space="preserve">Update the system prompts in </w:t>
      </w:r>
      <w:r>
        <w:rPr>
          <w:color w:val="2B579A"/>
          <w:sz w:val="22"/>
          <w:szCs w:val="22"/>
          <w:u w:val="single"/>
        </w:rPr>
        <w:t xml:space="preserve">app.py</w:t>
      </w:r>
      <w:r>
        <w:rPr>
          <w:sz w:val="22"/>
          <w:szCs w:val="22"/>
        </w:rPr>
        <w:t xml:space="preserve"> for the child support chat, spousal support chat, and tax chat to include the new province as an option.</w:t>
      </w:r>
    </w:p>
    <w:p>
      <w:pPr>
        <w:pBdr>
          <w:bottom w:val="single" w:color="BFBFBF" w:sz="6"/>
        </w:pBdr>
        <w:spacing w:after="120" w:before="120"/>
      </w:pPr>
    </w:p>
    <w:p>
      <w:pPr>
        <w:pStyle w:val="Heading2"/>
        <w:spacing w:after="120" w:before="240"/>
      </w:pPr>
      <w:r>
        <w:rPr>
          <w:sz w:val="22"/>
          <w:szCs w:val="22"/>
        </w:rPr>
        <w:t xml:space="preserve">How taxes are consumed by other calculators</w:t>
      </w:r>
    </w:p>
    <w:p>
      <w:pPr>
        <w:pStyle w:val="Heading3"/>
        <w:spacing w:after="120" w:before="240"/>
      </w:pPr>
      <w:r>
        <w:rPr>
          <w:sz w:val="22"/>
          <w:szCs w:val="22"/>
        </w:rPr>
        <w:t xml:space="preserve">Child support calculator</w:t>
      </w:r>
    </w:p>
    <w:p>
      <w:pPr>
        <w:spacing w:after="120" w:line="276"/>
      </w:pPr>
      <w:r>
        <w:rPr>
          <w:sz w:val="22"/>
          <w:szCs w:val="22"/>
        </w:rPr>
        <w:t xml:space="preserve">The child support calculator does </w:t>
      </w:r>
      <w:r>
        <w:rPr>
          <w:b/>
          <w:bCs/>
          <w:sz w:val="22"/>
          <w:szCs w:val="22"/>
        </w:rPr>
        <w:t xml:space="preserve">not</w:t>
      </w:r>
      <w:r>
        <w:rPr>
          <w:sz w:val="22"/>
          <w:szCs w:val="22"/>
        </w:rPr>
        <w:t xml:space="preserve"> use the tax engine directly. It uses the Federal Child Support Guidelines Schedule I table (</w:t>
      </w:r>
      <w:r>
        <w:rPr>
          <w:color w:val="2B579A"/>
          <w:sz w:val="22"/>
          <w:szCs w:val="22"/>
          <w:u w:val="single"/>
        </w:rPr>
        <w:t xml:space="preserve">schedule_i.json</w:t>
      </w:r>
      <w:r>
        <w:rPr>
          <w:sz w:val="22"/>
          <w:szCs w:val="22"/>
        </w:rPr>
        <w:t xml:space="preserve">) to look up table amounts based on income and number of children. The tax engine is only involved indirectly through the INDI (Individual Net Disposable Income) breakdown shown in spousal support reports.</w:t>
      </w:r>
    </w:p>
    <w:p>
      <w:pPr>
        <w:pStyle w:val="Heading3"/>
        <w:spacing w:after="120" w:before="240"/>
      </w:pPr>
      <w:r>
        <w:rPr>
          <w:sz w:val="22"/>
          <w:szCs w:val="22"/>
        </w:rPr>
        <w:t xml:space="preserve">Spousal support calculator (with children — iterative formula)</w:t>
      </w:r>
    </w:p>
    <w:p>
      <w:pPr>
        <w:spacing w:after="120" w:line="276"/>
      </w:pPr>
      <w:r>
        <w:rPr>
          <w:sz w:val="22"/>
          <w:szCs w:val="22"/>
        </w:rPr>
        <w:t xml:space="preserve">The spousal support with-children formula in </w:t>
      </w:r>
      <w:r>
        <w:rPr>
          <w:color w:val="2B579A"/>
          <w:sz w:val="22"/>
          <w:szCs w:val="22"/>
          <w:u w:val="single"/>
        </w:rPr>
        <w:t xml:space="preserve">spousal_support.py</w:t>
      </w:r>
      <w:r>
        <w:rPr>
          <w:sz w:val="22"/>
          <w:szCs w:val="22"/>
        </w:rPr>
        <w:t xml:space="preserve"> is the primary consumer of the tax engine. It uses </w:t>
      </w:r>
      <w:r>
        <w:rPr>
          <w:b/>
          <w:bCs/>
          <w:sz w:val="22"/>
          <w:szCs w:val="22"/>
        </w:rPr>
        <w:t xml:space="preserve">damped fixed-point iteration</w:t>
      </w:r>
      <w:r>
        <w:rPr>
          <w:sz w:val="22"/>
          <w:szCs w:val="22"/>
        </w:rPr>
        <w:t xml:space="preserve"> (~6 steps per rate) where each step:</w:t>
      </w:r>
    </w:p>
    <w:p>
      <w:pPr>
        <w:spacing w:after="60"/>
        <w:ind w:left="360"/>
      </w:pPr>
      <w:r>
        <w:rPr>
          <w:sz w:val="22"/>
          <w:szCs w:val="22"/>
        </w:rPr>
        <w:t xml:space="preserve">1. Proposes a spousal support amount.</w:t>
      </w:r>
    </w:p>
    <w:p>
      <w:pPr>
        <w:spacing w:after="60"/>
        <w:ind w:left="360"/>
      </w:pPr>
      <w:r>
        <w:rPr>
          <w:sz w:val="22"/>
          <w:szCs w:val="22"/>
        </w:rPr>
        <w:t xml:space="preserve">2. Adjusts each party's income by the proposed support (payor deducts, recipient</w:t>
      </w:r>
    </w:p>
    <w:p>
      <w:pPr>
        <w:spacing w:after="120" w:line="276"/>
      </w:pPr>
      <w:r>
        <w:rPr>
          <w:sz w:val="22"/>
          <w:szCs w:val="22"/>
        </w:rPr>
        <w:t xml:space="preserve">   adds).</w:t>
      </w:r>
    </w:p>
    <w:p>
      <w:pPr>
        <w:spacing w:after="60"/>
        <w:ind w:left="360"/>
      </w:pPr>
      <w:r>
        <w:rPr>
          <w:sz w:val="22"/>
          <w:szCs w:val="22"/>
        </w:rPr>
        <w:t xml:space="preserve">3. Calls </w:t>
      </w:r>
      <w:r>
        <w:rPr>
          <w:rFonts w:ascii="Courier New" w:cs="Courier New" w:eastAsia="Courier New" w:hAnsi="Courier New"/>
          <w:sz w:val="20"/>
          <w:szCs w:val="20"/>
          <w:shd w:fill="E8E8E8" w:color="auto" w:val="clear"/>
        </w:rPr>
        <w:t xml:space="preserve">calculate_taxes()</w:t>
      </w:r>
      <w:r>
        <w:rPr>
          <w:sz w:val="22"/>
          <w:szCs w:val="22"/>
        </w:rPr>
        <w:t xml:space="preserve"> for each party with the adjusted income.</w:t>
      </w:r>
    </w:p>
    <w:p>
      <w:pPr>
        <w:spacing w:after="60"/>
        <w:ind w:left="360"/>
      </w:pPr>
      <w:r>
        <w:rPr>
          <w:sz w:val="22"/>
          <w:szCs w:val="22"/>
        </w:rPr>
        <w:t xml:space="preserve">4. Computes INDI = </w:t>
      </w:r>
      <w:r>
        <w:rPr>
          <w:rFonts w:ascii="Courier New" w:cs="Courier New" w:eastAsia="Courier New" w:hAnsi="Courier New"/>
          <w:sz w:val="20"/>
          <w:szCs w:val="20"/>
          <w:shd w:fill="E8E8E8" w:color="auto" w:val="clear"/>
        </w:rPr>
        <w:t xml:space="preserve">taxable_income − total_taxes + total_benefits − child_support</w:t>
      </w:r>
      <w:r>
        <w:rPr>
          <w:sz w:val="22"/>
          <w:szCs w:val="22"/>
        </w:rPr>
        <w:t xml:space="preserve">.</w:t>
      </w:r>
    </w:p>
    <w:p>
      <w:pPr>
        <w:spacing w:after="60"/>
        <w:ind w:left="360"/>
      </w:pPr>
      <w:r>
        <w:rPr>
          <w:sz w:val="22"/>
          <w:szCs w:val="22"/>
        </w:rPr>
        <w:t xml:space="preserve">5. Computes the next spousal support amount from the INDI difference.</w:t>
      </w:r>
    </w:p>
    <w:p>
      <w:pPr>
        <w:spacing w:after="60"/>
        <w:ind w:left="360"/>
      </w:pPr>
      <w:r>
        <w:rPr>
          <w:sz w:val="22"/>
          <w:szCs w:val="22"/>
        </w:rPr>
        <w:t xml:space="preserve">6. Applies damping and repeats until convergence.</w:t>
      </w:r>
    </w:p>
    <w:p>
      <w:pPr>
        <w:spacing w:after="120" w:line="276"/>
      </w:pPr>
      <w:r>
        <w:rPr>
          <w:sz w:val="22"/>
          <w:szCs w:val="22"/>
        </w:rPr>
        <w:t xml:space="preserve">This means the tax engine runs approximately 18 times per spousal support calculation (6 iterations × 3 rates [low/mid/high]). The </w:t>
      </w:r>
      <w:r>
        <w:rPr>
          <w:rFonts w:ascii="Courier New" w:cs="Courier New" w:eastAsia="Courier New" w:hAnsi="Courier New"/>
          <w:sz w:val="20"/>
          <w:szCs w:val="20"/>
          <w:shd w:fill="E8E8E8" w:color="auto" w:val="clear"/>
        </w:rPr>
        <w:t xml:space="preserve">province</w:t>
      </w:r>
      <w:r>
        <w:rPr>
          <w:sz w:val="22"/>
          <w:szCs w:val="22"/>
        </w:rPr>
        <w:t xml:space="preserve"> parameter is forwarded so the correct provincial taxes are used.</w:t>
      </w:r>
    </w:p>
    <w:p>
      <w:pPr>
        <w:pStyle w:val="Heading3"/>
        <w:spacing w:after="120" w:before="240"/>
      </w:pPr>
      <w:r>
        <w:rPr>
          <w:sz w:val="22"/>
          <w:szCs w:val="22"/>
        </w:rPr>
        <w:t xml:space="preserve">Tax chat AI workflow</w:t>
      </w:r>
    </w:p>
    <w:p>
      <w:pPr>
        <w:spacing w:after="120" w:line="276"/>
      </w:pPr>
      <w:r>
        <w:rPr>
          <w:sz w:val="22"/>
          <w:szCs w:val="22"/>
        </w:rPr>
        <w:t xml:space="preserve">The </w:t>
      </w:r>
      <w:r>
        <w:rPr>
          <w:rFonts w:ascii="Courier New" w:cs="Courier New" w:eastAsia="Courier New" w:hAnsi="Courier New"/>
          <w:sz w:val="20"/>
          <w:szCs w:val="20"/>
          <w:shd w:fill="E8E8E8" w:color="auto" w:val="clear"/>
        </w:rPr>
        <w:t xml:space="preserve">/tax-chat</w:t>
      </w:r>
      <w:r>
        <w:rPr>
          <w:sz w:val="22"/>
          <w:szCs w:val="22"/>
        </w:rPr>
        <w:t xml:space="preserve"> endpoint collects income, deductions, and children data, then calls </w:t>
      </w:r>
      <w:r>
        <w:rPr>
          <w:rFonts w:ascii="Courier New" w:cs="Courier New" w:eastAsia="Courier New" w:hAnsi="Courier New"/>
          <w:sz w:val="20"/>
          <w:szCs w:val="20"/>
          <w:shd w:fill="E8E8E8" w:color="auto" w:val="clear"/>
        </w:rPr>
        <w:t xml:space="preserve">calculate_taxes()</w:t>
      </w:r>
      <w:r>
        <w:rPr>
          <w:sz w:val="22"/>
          <w:szCs w:val="22"/>
        </w:rPr>
        <w:t xml:space="preserve"> directly. The result is returned as a comprehensive line-item breakdown.</w:t>
      </w:r>
    </w:p>
    <w:p>
      <w:pPr>
        <w:pBdr>
          <w:left w:val="single" w:color="4472C4" w:sz="6" w:space="10"/>
        </w:pBdr>
        <w:shd w:fill="F2F7FC" w:color="auto" w:val="clear"/>
        <w:spacing w:after="120"/>
        <w:ind w:left="720"/>
      </w:pPr>
      <w:r>
        <w:rPr>
          <w:b/>
          <w:bCs/>
          <w:sz w:val="22"/>
          <w:szCs w:val="22"/>
        </w:rPr>
        <w:t xml:space="preserve">Current AI prompt limitation.</w:t>
      </w:r>
      <w:r>
        <w:rPr>
          <w:sz w:val="22"/>
          <w:szCs w:val="22"/>
        </w:rPr>
        <w:t xml:space="preserve"> The tax chat system prompt currently instructs Claude to handle "Ontario income tax only (2024 or 2025)" and politely decline other provinces. The underlying </w:t>
      </w:r>
      <w:r>
        <w:rPr>
          <w:rFonts w:ascii="Courier New" w:cs="Courier New" w:eastAsia="Courier New" w:hAnsi="Courier New"/>
          <w:sz w:val="20"/>
          <w:szCs w:val="20"/>
          <w:shd w:fill="E8E8E8" w:color="auto" w:val="clear"/>
        </w:rPr>
        <w:t xml:space="preserve">calculate_taxes</w:t>
      </w:r>
      <w:r>
        <w:rPr>
          <w:sz w:val="22"/>
          <w:szCs w:val="22"/>
        </w:rPr>
        <w:t xml:space="preserve"> function fully supports all five provinces. Updating the tax chat prompt to offer all provinces is a straightforward change.</w:t>
      </w:r>
    </w:p>
    <w:p>
      <w:pPr>
        <w:pBdr>
          <w:bottom w:val="single" w:color="BFBFBF" w:sz="6"/>
        </w:pBdr>
        <w:spacing w:after="120" w:before="120"/>
      </w:pPr>
    </w:p>
    <w:p>
      <w:pPr>
        <w:pStyle w:val="Heading2"/>
        <w:spacing w:after="120" w:before="240"/>
      </w:pPr>
      <w:r>
        <w:rPr>
          <w:sz w:val="22"/>
          <w:szCs w:val="22"/>
        </w:rPr>
        <w:t xml:space="preserve">Testing</w:t>
      </w:r>
    </w:p>
    <w:p>
      <w:pPr>
        <w:spacing w:after="120" w:line="276"/>
      </w:pPr>
      <w:r>
        <w:rPr>
          <w:sz w:val="22"/>
          <w:szCs w:val="22"/>
        </w:rPr>
        <w:t xml:space="preserve">Backend tests live alongside the tax engine:</w:t>
      </w:r>
    </w:p>
    <w:p>
      <w:pPr>
        <w:pStyle w:val="ListParagraph"/>
        <w:numPr>
          <w:ilvl w:val="0"/>
          <w:numId w:val="1"/>
        </w:numPr>
        <w:spacing w:after="60"/>
      </w:pPr>
      <w:r>
        <w:rPr>
          <w:color w:val="2B579A"/>
          <w:sz w:val="22"/>
          <w:szCs w:val="22"/>
          <w:u w:val="single"/>
        </w:rPr>
        <w:t xml:space="preserve">cloudact-ui/src/utils/helpers/calculator/taxCalculationFormula.spec.ts</w:t>
      </w:r>
      <w:r>
        <w:rPr>
          <w:sz w:val="22"/>
          <w:szCs w:val="22"/>
        </w:rPr>
        <w:t xml:space="preserve"> — frontend formula tests</w:t>
      </w:r>
    </w:p>
    <w:p>
      <w:pPr>
        <w:pStyle w:val="ListParagraph"/>
        <w:numPr>
          <w:ilvl w:val="0"/>
          <w:numId w:val="1"/>
        </w:numPr>
        <w:spacing w:after="60"/>
      </w:pPr>
      <w:r>
        <w:rPr>
          <w:color w:val="2B579A"/>
          <w:sz w:val="22"/>
          <w:szCs w:val="22"/>
          <w:u w:val="single"/>
        </w:rPr>
        <w:t xml:space="preserve">cloudact-ui/src/utils/helpers/calculator/creditTaxCalculationFormulas.spec.ts</w:t>
      </w:r>
      <w:r>
        <w:rPr>
          <w:sz w:val="22"/>
          <w:szCs w:val="22"/>
        </w:rPr>
        <w:t xml:space="preserve"> — frontend credit tests</w:t>
      </w:r>
    </w:p>
    <w:p>
      <w:pPr>
        <w:spacing w:after="120" w:line="276"/>
      </w:pPr>
      <w:r>
        <w:rPr>
          <w:sz w:val="22"/>
          <w:szCs w:val="22"/>
        </w:rPr>
        <w:t xml:space="preserve">When verifying tax calculations, compare against:</w:t>
      </w:r>
    </w:p>
    <w:p>
      <w:pPr>
        <w:pStyle w:val="ListParagraph"/>
        <w:numPr>
          <w:ilvl w:val="0"/>
          <w:numId w:val="1"/>
        </w:numPr>
        <w:spacing w:after="60"/>
      </w:pPr>
      <w:r>
        <w:rPr>
          <w:sz w:val="22"/>
          <w:szCs w:val="22"/>
        </w:rPr>
        <w:t xml:space="preserve">The reference Excel spreadsheet (the original source of truth for formulas)</w:t>
      </w:r>
    </w:p>
    <w:p>
      <w:pPr>
        <w:pStyle w:val="ListParagraph"/>
        <w:numPr>
          <w:ilvl w:val="0"/>
          <w:numId w:val="1"/>
        </w:numPr>
        <w:spacing w:after="60"/>
      </w:pPr>
      <w:r>
        <w:rPr>
          <w:sz w:val="22"/>
          <w:szCs w:val="22"/>
        </w:rPr>
        <w:t xml:space="preserve">CRA's published tax tables and benefit calculators</w:t>
      </w:r>
    </w:p>
    <w:p>
      <w:pPr>
        <w:pStyle w:val="ListParagraph"/>
        <w:numPr>
          <w:ilvl w:val="0"/>
          <w:numId w:val="1"/>
        </w:numPr>
        <w:spacing w:after="60"/>
      </w:pPr>
      <w:r>
        <w:rPr>
          <w:sz w:val="22"/>
          <w:szCs w:val="22"/>
        </w:rPr>
        <w:t xml:space="preserve">Provincial government published rates</w:t>
      </w:r>
    </w:p>
    <w:p>
      <w:pPr>
        <w:pBdr>
          <w:bottom w:val="single" w:color="BFBFBF" w:sz="6"/>
        </w:pBdr>
        <w:spacing w:after="120" w:before="120"/>
      </w:pPr>
    </w:p>
    <w:p>
      <w:pPr>
        <w:pStyle w:val="Heading2"/>
        <w:spacing w:after="120" w:before="240"/>
      </w:pPr>
      <w:r>
        <w:rPr>
          <w:sz w:val="22"/>
          <w:szCs w:val="22"/>
        </w:rPr>
        <w:t xml:space="preserve">Common debugging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6E4F0" w:color="auto" w:val="clear"/>
          </w:tcPr>
          <w:p>
            <w:pPr>
              <w:spacing w:after="40" w:before="40"/>
            </w:pPr>
            <w:r>
              <w:rPr>
                <w:sz w:val="22"/>
                <w:szCs w:val="22"/>
              </w:rPr>
              <w:t xml:space="preserve">Symptom</w:t>
            </w:r>
          </w:p>
        </w:tc>
        <w:tc>
          <w:tcPr>
            <w:tcW w:type="dxa" w:w="3120"/>
            <w:shd w:fill="D6E4F0" w:color="auto" w:val="clear"/>
          </w:tcPr>
          <w:p>
            <w:pPr>
              <w:spacing w:after="40" w:before="40"/>
            </w:pPr>
            <w:r>
              <w:rPr>
                <w:sz w:val="22"/>
                <w:szCs w:val="22"/>
              </w:rPr>
              <w:t xml:space="preserve">Likely cause</w:t>
            </w:r>
          </w:p>
        </w:tc>
        <w:tc>
          <w:tcPr>
            <w:tcW w:type="dxa" w:w="3120"/>
            <w:shd w:fill="D6E4F0" w:color="auto" w:val="clear"/>
          </w:tcPr>
          <w:p>
            <w:pPr>
              <w:spacing w:after="40" w:before="40"/>
            </w:pPr>
            <w:r>
              <w:rPr>
                <w:sz w:val="22"/>
                <w:szCs w:val="22"/>
              </w:rPr>
              <w:t xml:space="preserve">Where to look</w:t>
            </w:r>
          </w:p>
        </w:tc>
      </w:tr>
      <w:tr>
        <w:trPr>
          <w:tblHeader w:val="false"/>
        </w:trPr>
        <w:tc>
          <w:tcPr>
            <w:tcW w:type="dxa" w:w="3120"/>
            <w:shd w:fill="FFFFFF" w:color="auto" w:val="clear"/>
          </w:tcPr>
          <w:p>
            <w:pPr>
              <w:spacing w:after="40" w:before="40"/>
            </w:pPr>
            <w:r>
              <w:rPr>
                <w:sz w:val="22"/>
                <w:szCs w:val="22"/>
              </w:rPr>
              <w:t xml:space="preserve">Tax amounts differ from Excel spreadsheet</w:t>
            </w:r>
          </w:p>
        </w:tc>
        <w:tc>
          <w:tcPr>
            <w:tcW w:type="dxa" w:w="3120"/>
            <w:shd w:fill="FFFFFF" w:color="auto" w:val="clear"/>
          </w:tcPr>
          <w:p>
            <w:pPr>
              <w:spacing w:after="40" w:before="40"/>
            </w:pPr>
            <w:r>
              <w:rPr>
                <w:sz w:val="22"/>
                <w:szCs w:val="22"/>
              </w:rPr>
              <w:t xml:space="preserve">Constants outdated or wrong bracket matched</w:t>
            </w:r>
          </w:p>
        </w:tc>
        <w:tc>
          <w:tcPr>
            <w:tcW w:type="dxa" w:w="3120"/>
            <w:shd w:fill="FFFFFF" w:color="auto" w:val="clear"/>
          </w:tcPr>
          <w:p>
            <w:pPr>
              <w:spacing w:after="40" w:before="40"/>
            </w:pPr>
            <w:r>
              <w:rPr>
                <w:sz w:val="22"/>
                <w:szCs w:val="22"/>
              </w:rPr>
              <w:t xml:space="preserve">Check </w:t>
            </w:r>
            <w:r>
              <w:rPr>
                <w:rFonts w:ascii="Courier New" w:cs="Courier New" w:eastAsia="Courier New" w:hAnsi="Courier New"/>
                <w:sz w:val="20"/>
                <w:szCs w:val="20"/>
                <w:shd w:fill="E8E8E8" w:color="auto" w:val="clear"/>
              </w:rPr>
              <w:t xml:space="preserve">tax_constants.json</w:t>
            </w:r>
            <w:r>
              <w:rPr>
                <w:sz w:val="22"/>
                <w:szCs w:val="22"/>
              </w:rPr>
              <w:t xml:space="preserve"> values against the spreadsheet; verify </w:t>
            </w:r>
            <w:r>
              <w:rPr>
                <w:rFonts w:ascii="Courier New" w:cs="Courier New" w:eastAsia="Courier New" w:hAnsi="Courier New"/>
                <w:sz w:val="20"/>
                <w:szCs w:val="20"/>
                <w:shd w:fill="E8E8E8" w:color="auto" w:val="clear"/>
              </w:rPr>
              <w:t xml:space="preserve">_find_bracket()</w:t>
            </w:r>
            <w:r>
              <w:rPr>
                <w:sz w:val="22"/>
                <w:szCs w:val="22"/>
              </w:rPr>
              <w:t xml:space="preserve"> returns the correct row</w:t>
            </w:r>
          </w:p>
        </w:tc>
      </w:tr>
      <w:tr>
        <w:trPr>
          <w:tblHeader w:val="false"/>
        </w:trPr>
        <w:tc>
          <w:tcPr>
            <w:tcW w:type="dxa" w:w="3120"/>
            <w:shd w:fill="F2F2F2" w:color="auto" w:val="clear"/>
          </w:tcPr>
          <w:p>
            <w:pPr>
              <w:spacing w:after="40" w:before="40"/>
            </w:pPr>
            <w:r>
              <w:rPr>
                <w:sz w:val="22"/>
                <w:szCs w:val="22"/>
              </w:rPr>
              <w:t xml:space="preserve">Frontend and backend produce different results</w:t>
            </w:r>
          </w:p>
        </w:tc>
        <w:tc>
          <w:tcPr>
            <w:tcW w:type="dxa" w:w="3120"/>
            <w:shd w:fill="F2F2F2" w:color="auto" w:val="clear"/>
          </w:tcPr>
          <w:p>
            <w:pPr>
              <w:spacing w:after="40" w:before="40"/>
            </w:pPr>
            <w:r>
              <w:rPr>
                <w:sz w:val="22"/>
                <w:szCs w:val="22"/>
              </w:rPr>
              <w:t xml:space="preserve">One engine updated but not the other</w:t>
            </w:r>
          </w:p>
        </w:tc>
        <w:tc>
          <w:tcPr>
            <w:tcW w:type="dxa" w:w="3120"/>
            <w:shd w:fill="F2F2F2" w:color="auto" w:val="clear"/>
          </w:tcPr>
          <w:p>
            <w:pPr>
              <w:spacing w:after="40" w:before="40"/>
            </w:pPr>
            <w:r>
              <w:rPr>
                <w:sz w:val="22"/>
                <w:szCs w:val="22"/>
              </w:rPr>
              <w:t xml:space="preserve">Compare the formula in </w:t>
            </w:r>
            <w:r>
              <w:rPr>
                <w:rFonts w:ascii="Courier New" w:cs="Courier New" w:eastAsia="Courier New" w:hAnsi="Courier New"/>
                <w:sz w:val="20"/>
                <w:szCs w:val="20"/>
                <w:shd w:fill="E8E8E8" w:color="auto" w:val="clear"/>
              </w:rPr>
              <w:t xml:space="preserve">tax.py</w:t>
            </w:r>
            <w:r>
              <w:rPr>
                <w:sz w:val="22"/>
                <w:szCs w:val="22"/>
              </w:rPr>
              <w:t xml:space="preserve"> with the TypeScript equivalent; check that both use the same constants</w:t>
            </w:r>
          </w:p>
        </w:tc>
      </w:tr>
      <w:tr>
        <w:trPr>
          <w:tblHeader w:val="false"/>
        </w:trPr>
        <w:tc>
          <w:tcPr>
            <w:tcW w:type="dxa" w:w="3120"/>
            <w:shd w:fill="FFFFFF" w:color="auto" w:val="clear"/>
          </w:tcPr>
          <w:p>
            <w:pPr>
              <w:spacing w:after="40" w:before="40"/>
            </w:pPr>
            <w:r>
              <w:rPr>
                <w:sz w:val="22"/>
                <w:szCs w:val="22"/>
              </w:rPr>
              <w:t xml:space="preserve">New year not available in calculator</w:t>
            </w:r>
          </w:p>
        </w:tc>
        <w:tc>
          <w:tcPr>
            <w:tcW w:type="dxa" w:w="3120"/>
            <w:shd w:fill="FFFFFF" w:color="auto" w:val="clear"/>
          </w:tcPr>
          <w:p>
            <w:pPr>
              <w:spacing w:after="40" w:before="40"/>
            </w:pPr>
            <w:r>
              <w:rPr>
                <w:sz w:val="22"/>
                <w:szCs w:val="22"/>
              </w:rPr>
              <w:t xml:space="preserve">Constants not seeded to database</w:t>
            </w:r>
          </w:p>
        </w:tc>
        <w:tc>
          <w:tcPr>
            <w:tcW w:type="dxa" w:w="3120"/>
            <w:shd w:fill="FFFFFF" w:color="auto" w:val="clear"/>
          </w:tcPr>
          <w:p>
            <w:pPr>
              <w:spacing w:after="40" w:before="40"/>
            </w:pPr>
            <w:r>
              <w:rPr>
                <w:sz w:val="22"/>
                <w:szCs w:val="22"/>
              </w:rPr>
              <w:t xml:space="preserve">Run the seed script or add via SuperAdmin UI</w:t>
            </w:r>
          </w:p>
        </w:tc>
      </w:tr>
      <w:tr>
        <w:trPr>
          <w:tblHeader w:val="false"/>
        </w:trPr>
        <w:tc>
          <w:tcPr>
            <w:tcW w:type="dxa" w:w="3120"/>
            <w:shd w:fill="F2F2F2" w:color="auto" w:val="clear"/>
          </w:tcPr>
          <w:p>
            <w:pPr>
              <w:spacing w:after="40" w:before="40"/>
            </w:pPr>
            <w:r>
              <w:rPr>
                <w:sz w:val="22"/>
                <w:szCs w:val="22"/>
              </w:rPr>
              <w:t xml:space="preserve">Provincial tax is zero when it should not be</w:t>
            </w:r>
          </w:p>
        </w:tc>
        <w:tc>
          <w:tcPr>
            <w:tcW w:type="dxa" w:w="3120"/>
            <w:shd w:fill="F2F2F2" w:color="auto" w:val="clear"/>
          </w:tcPr>
          <w:p>
            <w:pPr>
              <w:spacing w:after="40" w:before="40"/>
            </w:pPr>
            <w:r>
              <w:rPr>
                <w:sz w:val="22"/>
                <w:szCs w:val="22"/>
              </w:rPr>
              <w:t xml:space="preserve">Province not passed or defaulting to wrong province</w:t>
            </w:r>
          </w:p>
        </w:tc>
        <w:tc>
          <w:tcPr>
            <w:tcW w:type="dxa" w:w="3120"/>
            <w:shd w:fill="F2F2F2" w:color="auto" w:val="clear"/>
          </w:tcPr>
          <w:p>
            <w:pPr>
              <w:spacing w:after="40" w:before="40"/>
            </w:pPr>
            <w:r>
              <w:rPr>
                <w:sz w:val="22"/>
                <w:szCs w:val="22"/>
              </w:rPr>
              <w:t xml:space="preserve">Check that </w:t>
            </w:r>
            <w:r>
              <w:rPr>
                <w:rFonts w:ascii="Courier New" w:cs="Courier New" w:eastAsia="Courier New" w:hAnsi="Courier New"/>
                <w:sz w:val="20"/>
                <w:szCs w:val="20"/>
                <w:shd w:fill="E8E8E8" w:color="auto" w:val="clear"/>
              </w:rPr>
              <w:t xml:space="preserve">province</w:t>
            </w:r>
            <w:r>
              <w:rPr>
                <w:sz w:val="22"/>
                <w:szCs w:val="22"/>
              </w:rPr>
              <w:t xml:space="preserve"> is being forwarded correctly through the call chain</w:t>
            </w:r>
          </w:p>
        </w:tc>
      </w:tr>
      <w:tr>
        <w:trPr>
          <w:tblHeader w:val="false"/>
        </w:trPr>
        <w:tc>
          <w:tcPr>
            <w:tcW w:type="dxa" w:w="3120"/>
            <w:shd w:fill="FFFFFF" w:color="auto" w:val="clear"/>
          </w:tcPr>
          <w:p>
            <w:pPr>
              <w:spacing w:after="40" w:before="40"/>
            </w:pPr>
            <w:r>
              <w:rPr>
                <w:sz w:val="22"/>
                <w:szCs w:val="22"/>
              </w:rPr>
              <w:t xml:space="preserve">Benefits seem wrong</w:t>
            </w:r>
          </w:p>
        </w:tc>
        <w:tc>
          <w:tcPr>
            <w:tcW w:type="dxa" w:w="3120"/>
            <w:shd w:fill="FFFFFF" w:color="auto" w:val="clear"/>
          </w:tcPr>
          <w:p>
            <w:pPr>
              <w:spacing w:after="40" w:before="40"/>
            </w:pPr>
            <w:r>
              <w:rPr>
                <w:sz w:val="22"/>
                <w:szCs w:val="22"/>
              </w:rPr>
              <w:t xml:space="preserve">Child direction logic returning unexpected value</w:t>
            </w:r>
          </w:p>
        </w:tc>
        <w:tc>
          <w:tcPr>
            <w:tcW w:type="dxa" w:w="3120"/>
            <w:shd w:fill="FFFFFF" w:color="auto" w:val="clear"/>
          </w:tcPr>
          <w:p>
            <w:pPr>
              <w:spacing w:after="40" w:before="40"/>
            </w:pPr>
            <w:r>
              <w:rPr>
                <w:sz w:val="22"/>
                <w:szCs w:val="22"/>
              </w:rPr>
              <w:t xml:space="preserve">Check </w:t>
            </w:r>
            <w:r>
              <w:rPr>
                <w:rFonts w:ascii="Courier New" w:cs="Courier New" w:eastAsia="Courier New" w:hAnsi="Courier New"/>
                <w:sz w:val="20"/>
                <w:szCs w:val="20"/>
                <w:shd w:fill="E8E8E8" w:color="auto" w:val="clear"/>
              </w:rPr>
              <w:t xml:space="preserve">which_party_children_live_with()</w:t>
            </w:r>
            <w:r>
              <w:rPr>
                <w:sz w:val="22"/>
                <w:szCs w:val="22"/>
              </w:rPr>
              <w:t xml:space="preserve"> — the logic for SHARED, SPLIT, and HYBRID custody can be subtle</w:t>
            </w:r>
          </w:p>
        </w:tc>
      </w:tr>
      <w:tr>
        <w:trPr>
          <w:tblHeader w:val="false"/>
        </w:trPr>
        <w:tc>
          <w:tcPr>
            <w:tcW w:type="dxa" w:w="3120"/>
            <w:shd w:fill="F2F2F2" w:color="auto" w:val="clear"/>
          </w:tcPr>
          <w:p>
            <w:pPr>
              <w:spacing w:after="40" w:before="40"/>
            </w:pPr>
            <w:r>
              <w:rPr>
                <w:sz w:val="22"/>
                <w:szCs w:val="22"/>
              </w:rPr>
              <w:t xml:space="preserve">CWB amount differs between provinces</w:t>
            </w:r>
          </w:p>
        </w:tc>
        <w:tc>
          <w:tcPr>
            <w:tcW w:type="dxa" w:w="3120"/>
            <w:shd w:fill="F2F2F2" w:color="auto" w:val="clear"/>
          </w:tcPr>
          <w:p>
            <w:pPr>
              <w:spacing w:after="40" w:before="40"/>
            </w:pPr>
            <w:r>
              <w:rPr>
                <w:sz w:val="22"/>
                <w:szCs w:val="22"/>
              </w:rPr>
              <w:t xml:space="preserve">Province-specific CWB thresholds not applied</w:t>
            </w:r>
          </w:p>
        </w:tc>
        <w:tc>
          <w:tcPr>
            <w:tcW w:type="dxa" w:w="3120"/>
            <w:shd w:fill="F2F2F2" w:color="auto" w:val="clear"/>
          </w:tcPr>
          <w:p>
            <w:pPr>
              <w:spacing w:after="40" w:before="40"/>
            </w:pPr>
            <w:r>
              <w:rPr>
                <w:sz w:val="22"/>
                <w:szCs w:val="22"/>
              </w:rPr>
              <w:t xml:space="preserve">BC and AB override the federal CWB constants; check the </w:t>
            </w:r>
            <w:r>
              <w:rPr>
                <w:rFonts w:ascii="Courier New" w:cs="Courier New" w:eastAsia="Courier New" w:hAnsi="Courier New"/>
                <w:sz w:val="20"/>
                <w:szCs w:val="20"/>
                <w:shd w:fill="E8E8E8" w:color="auto" w:val="clear"/>
              </w:rPr>
              <w:t xml:space="preserve">elif province ==</w:t>
            </w:r>
            <w:r>
              <w:rPr>
                <w:sz w:val="22"/>
                <w:szCs w:val="22"/>
              </w:rPr>
              <w:t xml:space="preserve"> block in step 8</w:t>
            </w:r>
          </w:p>
        </w:tc>
      </w:tr>
      <w:tr>
        <w:trPr>
          <w:tblHeader w:val="false"/>
        </w:trPr>
        <w:tc>
          <w:tcPr>
            <w:tcW w:type="dxa" w:w="3120"/>
            <w:shd w:fill="FFFFFF" w:color="auto" w:val="clear"/>
          </w:tcPr>
          <w:p>
            <w:pPr>
              <w:spacing w:after="40" w:before="40"/>
            </w:pPr>
            <w:r>
              <w:rPr>
                <w:sz w:val="22"/>
                <w:szCs w:val="22"/>
              </w:rPr>
              <w:t xml:space="preserve">Ontario tax unexpectedly high or low</w:t>
            </w:r>
          </w:p>
        </w:tc>
        <w:tc>
          <w:tcPr>
            <w:tcW w:type="dxa" w:w="3120"/>
            <w:shd w:fill="FFFFFF" w:color="auto" w:val="clear"/>
          </w:tcPr>
          <w:p>
            <w:pPr>
              <w:spacing w:after="40" w:before="40"/>
            </w:pPr>
            <w:r>
              <w:rPr>
                <w:sz w:val="22"/>
                <w:szCs w:val="22"/>
              </w:rPr>
              <w:t xml:space="preserve">Surtax, tax reduction, or LIFT not applied correctly</w:t>
            </w:r>
          </w:p>
        </w:tc>
        <w:tc>
          <w:tcPr>
            <w:tcW w:type="dxa" w:w="3120"/>
            <w:shd w:fill="FFFFFF" w:color="auto" w:val="clear"/>
          </w:tcPr>
          <w:p>
            <w:pPr>
              <w:spacing w:after="40" w:before="40"/>
            </w:pPr>
            <w:r>
              <w:rPr>
                <w:sz w:val="22"/>
                <w:szCs w:val="22"/>
              </w:rPr>
              <w:t xml:space="preserve">The Ontario pipeline has five steps — verify each one in order</w:t>
            </w:r>
          </w:p>
        </w:tc>
      </w:tr>
      <w:tr>
        <w:trPr>
          <w:tblHeader w:val="false"/>
        </w:trPr>
        <w:tc>
          <w:tcPr>
            <w:tcW w:type="dxa" w:w="3120"/>
            <w:shd w:fill="F2F2F2" w:color="auto" w:val="clear"/>
          </w:tcPr>
          <w:p>
            <w:pPr>
              <w:spacing w:after="40" w:before="40"/>
            </w:pPr>
            <w:r>
              <w:rPr>
                <w:sz w:val="22"/>
                <w:szCs w:val="22"/>
              </w:rPr>
              <w:t xml:space="preserve">SuperAdmin edits not reflected</w:t>
            </w:r>
          </w:p>
        </w:tc>
        <w:tc>
          <w:tcPr>
            <w:tcW w:type="dxa" w:w="3120"/>
            <w:shd w:fill="F2F2F2" w:color="auto" w:val="clear"/>
          </w:tcPr>
          <w:p>
            <w:pPr>
              <w:spacing w:after="40" w:before="40"/>
            </w:pPr>
            <w:r>
              <w:rPr>
                <w:sz w:val="22"/>
                <w:szCs w:val="22"/>
              </w:rPr>
              <w:t xml:space="preserve">Database constants not being loaded</w:t>
            </w:r>
          </w:p>
        </w:tc>
        <w:tc>
          <w:tcPr>
            <w:tcW w:type="dxa" w:w="3120"/>
            <w:shd w:fill="F2F2F2" w:color="auto" w:val="clear"/>
          </w:tcPr>
          <w:p>
            <w:pPr>
              <w:spacing w:after="40" w:before="40"/>
            </w:pPr>
            <w:r>
              <w:rPr>
                <w:sz w:val="22"/>
                <w:szCs w:val="22"/>
              </w:rPr>
              <w:t xml:space="preserve">Check that </w:t>
            </w:r>
            <w:r>
              <w:rPr>
                <w:rFonts w:ascii="Courier New" w:cs="Courier New" w:eastAsia="Courier New" w:hAnsi="Courier New"/>
                <w:sz w:val="20"/>
                <w:szCs w:val="20"/>
                <w:shd w:fill="E8E8E8" w:color="auto" w:val="clear"/>
              </w:rPr>
              <w:t xml:space="preserve">DATABASE_URL</w:t>
            </w:r>
            <w:r>
              <w:rPr>
                <w:sz w:val="22"/>
                <w:szCs w:val="22"/>
              </w:rPr>
              <w:t xml:space="preserve"> is set in the Flask service environment; look for </w:t>
            </w:r>
            <w:r>
              <w:rPr>
                <w:rFonts w:ascii="Courier New" w:cs="Courier New" w:eastAsia="Courier New" w:hAnsi="Courier New"/>
                <w:sz w:val="20"/>
                <w:szCs w:val="20"/>
                <w:shd w:fill="E8E8E8" w:color="auto" w:val="clear"/>
              </w:rPr>
              <w:t xml:space="preserve">[tax.py] DB fetch failed</w:t>
            </w:r>
            <w:r>
              <w:rPr>
                <w:sz w:val="22"/>
                <w:szCs w:val="22"/>
              </w:rPr>
              <w:t xml:space="preserve"> in logs</w:t>
            </w:r>
          </w:p>
        </w:tc>
      </w:tr>
    </w:tbl>
    <w:p>
      <w:pPr>
        <w:spacing w:after="12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2026-08-26T12:32:24.348Z</dcterms:created>
  <dcterms:modified xsi:type="dcterms:W3CDTF">2026-08-26T12:32:24.353Z</dcterms:modified>
</cp:coreProperties>
</file>

<file path=docProps/custom.xml><?xml version="1.0" encoding="utf-8"?>
<Properties xmlns="http://schemas.openxmlformats.org/officeDocument/2006/custom-properties" xmlns:vt="http://schemas.openxmlformats.org/officeDocument/2006/docPropsVTypes"/>
</file>