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Calculators, AI chat assistants &amp; the calculation engine</w:t>
      </w:r>
    </w:p>
    <w:p>
      <w:r>
        <w:rPr>
          <w:b w:val="0"/>
          <w:i w:val="0"/>
        </w:rPr>
        <w:t>How the child support, spousal support, and tax calculators work — the math engines, the AI chat workflows, the form-based endpoints, and the PDF reports they produce. Start here if you are debugging a wrong calculation result, a chat that loops or stalls, a PDF that fails to generate, or a "Save to Matter" that does not persist.</w:t>
      </w:r>
    </w:p>
    <w:p>
      <w:pPr>
        <w:pStyle w:val="IntenseQuote"/>
      </w:pPr>
      <w:r>
        <w:rPr>
          <w:b/>
          <w:i w:val="0"/>
        </w:rPr>
        <w:t>Relationship to other docs.</w:t>
      </w:r>
      <w:r>
        <w:rPr>
          <w:b w:val="0"/>
          <w:i w:val="0"/>
        </w:rPr>
        <w:t xml:space="preserve"> This document covers the Flask backend's calculation and AI features (everything under </w:t>
      </w:r>
      <w:hyperlink r:id="rId9">
        <w:r>
          <w:rPr>
            <w:color w:val="0563C1"/>
            <w:u w:val="single"/>
          </w:rPr>
          <w:t>app.py</w:t>
        </w:r>
      </w:hyperlink>
      <w:r>
        <w:rPr>
          <w:b w:val="0"/>
          <w:i w:val="0"/>
        </w:rPr>
        <w:t xml:space="preserve">). For the hosting, environment variables, and deployment topology, see </w:t>
      </w:r>
      <w:hyperlink r:id="rId10">
        <w:r>
          <w:rPr>
            <w:color w:val="0563C1"/>
            <w:u w:val="single"/>
          </w:rPr>
          <w:t>ARCHITECTURE.md</w:t>
        </w:r>
      </w:hyperlink>
      <w:r>
        <w:rPr>
          <w:b w:val="0"/>
          <w:i w:val="0"/>
        </w:rPr>
        <w:t xml:space="preserve">. For authentication and session cookies, see </w:t>
      </w:r>
      <w:hyperlink r:id="rId11">
        <w:r>
          <w:rPr>
            <w:color w:val="0563C1"/>
            <w:u w:val="single"/>
          </w:rPr>
          <w:t>AUTHENTICATION.md</w:t>
        </w:r>
      </w:hyperlink>
      <w:r>
        <w:rPr>
          <w:b w:val="0"/>
          <w:i w:val="0"/>
        </w:rPr>
        <w:t xml:space="preserve">. For the matter workflow that </w:t>
      </w:r>
      <w:r>
        <w:rPr>
          <w:b w:val="0"/>
          <w:i/>
        </w:rPr>
        <w:t>contains</w:t>
      </w:r>
      <w:r>
        <w:rPr>
          <w:b w:val="0"/>
          <w:i w:val="0"/>
        </w:rPr>
        <w:t xml:space="preserve"> the calculator chat panels, see </w:t>
      </w:r>
      <w:hyperlink r:id="rId12">
        <w:r>
          <w:rPr>
            <w:color w:val="0563C1"/>
            <w:u w:val="single"/>
          </w:rPr>
          <w:t>MATTERS.md</w:t>
        </w:r>
      </w:hyperlink>
      <w:r>
        <w:rPr>
          <w:b w:val="0"/>
          <w:i w:val="0"/>
        </w:rPr>
        <w:t>.</w:t>
      </w:r>
    </w:p>
    <w:p/>
    <w:p>
      <w:pPr>
        <w:pStyle w:val="Heading2"/>
      </w:pPr>
      <w:r>
        <w:t>Where it lives</w:t>
      </w:r>
    </w:p>
    <w:p>
      <w:r>
        <w:rPr>
          <w:b/>
          <w:i w:val="0"/>
        </w:rPr>
        <w:t xml:space="preserve">Backend (Flask — </w:t>
      </w:r>
      <w:hyperlink r:id="rId9">
        <w:r>
          <w:rPr>
            <w:color w:val="0563C1"/>
            <w:u w:val="single"/>
          </w:rPr>
          <w:t>app.py</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All endpoints &amp; AI agent loops</w:t>
            </w:r>
          </w:p>
        </w:tc>
        <w:tc>
          <w:tcPr>
            <w:tcW w:type="dxa" w:w="4320"/>
          </w:tcPr>
          <w:p>
            <w:hyperlink r:id="rId9">
              <w:r>
                <w:rPr>
                  <w:color w:val="0563C1"/>
                  <w:u w:val="single"/>
                </w:rPr>
                <w:t>app.py</w:t>
              </w:r>
            </w:hyperlink>
          </w:p>
        </w:tc>
      </w:tr>
      <w:tr>
        <w:tc>
          <w:tcPr>
            <w:tcW w:type="dxa" w:w="4320"/>
          </w:tcPr>
          <w:p>
            <w:r>
              <w:rPr>
                <w:b w:val="0"/>
                <w:i w:val="0"/>
              </w:rPr>
              <w:t>Child support math engine</w:t>
            </w:r>
          </w:p>
        </w:tc>
        <w:tc>
          <w:tcPr>
            <w:tcW w:type="dxa" w:w="4320"/>
          </w:tcPr>
          <w:p>
            <w:hyperlink r:id="rId13">
              <w:r>
                <w:rPr>
                  <w:color w:val="0563C1"/>
                  <w:u w:val="single"/>
                </w:rPr>
                <w:t>child_support.py</w:t>
              </w:r>
            </w:hyperlink>
          </w:p>
        </w:tc>
      </w:tr>
      <w:tr>
        <w:tc>
          <w:tcPr>
            <w:tcW w:type="dxa" w:w="4320"/>
          </w:tcPr>
          <w:p>
            <w:r>
              <w:rPr>
                <w:b w:val="0"/>
                <w:i w:val="0"/>
              </w:rPr>
              <w:t>Spousal support math engine</w:t>
            </w:r>
          </w:p>
        </w:tc>
        <w:tc>
          <w:tcPr>
            <w:tcW w:type="dxa" w:w="4320"/>
          </w:tcPr>
          <w:p>
            <w:hyperlink r:id="rId14">
              <w:r>
                <w:rPr>
                  <w:color w:val="0563C1"/>
                  <w:u w:val="single"/>
                </w:rPr>
                <w:t>spousal_support.py</w:t>
              </w:r>
            </w:hyperlink>
          </w:p>
        </w:tc>
      </w:tr>
      <w:tr>
        <w:tc>
          <w:tcPr>
            <w:tcW w:type="dxa" w:w="4320"/>
          </w:tcPr>
          <w:p>
            <w:r>
              <w:rPr>
                <w:b w:val="0"/>
                <w:i w:val="0"/>
              </w:rPr>
              <w:t>Tax engine (ON + BC)</w:t>
            </w:r>
          </w:p>
        </w:tc>
        <w:tc>
          <w:tcPr>
            <w:tcW w:type="dxa" w:w="4320"/>
          </w:tcPr>
          <w:p>
            <w:hyperlink r:id="rId15">
              <w:r>
                <w:rPr>
                  <w:color w:val="0563C1"/>
                  <w:u w:val="single"/>
                </w:rPr>
                <w:t>tax.py</w:t>
              </w:r>
            </w:hyperlink>
          </w:p>
        </w:tc>
      </w:tr>
      <w:tr>
        <w:tc>
          <w:tcPr>
            <w:tcW w:type="dxa" w:w="4320"/>
          </w:tcPr>
          <w:p>
            <w:r>
              <w:rPr>
                <w:b w:val="0"/>
                <w:i w:val="0"/>
              </w:rPr>
              <w:t>Tax year constants</w:t>
            </w:r>
          </w:p>
        </w:tc>
        <w:tc>
          <w:tcPr>
            <w:tcW w:type="dxa" w:w="4320"/>
          </w:tcPr>
          <w:p>
            <w:hyperlink r:id="rId16">
              <w:r>
                <w:rPr>
                  <w:color w:val="0563C1"/>
                  <w:u w:val="single"/>
                </w:rPr>
                <w:t>tax_constants.json</w:t>
              </w:r>
            </w:hyperlink>
          </w:p>
        </w:tc>
      </w:tr>
      <w:tr>
        <w:tc>
          <w:tcPr>
            <w:tcW w:type="dxa" w:w="4320"/>
          </w:tcPr>
          <w:p>
            <w:r>
              <w:rPr>
                <w:b w:val="0"/>
                <w:i w:val="0"/>
              </w:rPr>
              <w:t>Schedule I table data (ON + BC, 2025)</w:t>
            </w:r>
          </w:p>
        </w:tc>
        <w:tc>
          <w:tcPr>
            <w:tcW w:type="dxa" w:w="4320"/>
          </w:tcPr>
          <w:p>
            <w:hyperlink r:id="rId17">
              <w:r>
                <w:rPr>
                  <w:color w:val="0563C1"/>
                  <w:u w:val="single"/>
                </w:rPr>
                <w:t>schedule_i.json</w:t>
              </w:r>
            </w:hyperlink>
          </w:p>
        </w:tc>
      </w:tr>
      <w:tr>
        <w:tc>
          <w:tcPr>
            <w:tcW w:type="dxa" w:w="4320"/>
          </w:tcPr>
          <w:p>
            <w:r>
              <w:rPr>
                <w:b w:val="0"/>
                <w:i w:val="0"/>
              </w:rPr>
              <w:t>Standalone calculator HTML</w:t>
            </w:r>
          </w:p>
        </w:tc>
        <w:tc>
          <w:tcPr>
            <w:tcW w:type="dxa" w:w="4320"/>
          </w:tcPr>
          <w:p>
            <w:hyperlink r:id="rId18">
              <w:r>
                <w:rPr>
                  <w:color w:val="0563C1"/>
                  <w:u w:val="single"/>
                </w:rPr>
                <w:t>templates/calculator.html</w:t>
              </w:r>
            </w:hyperlink>
          </w:p>
        </w:tc>
      </w:tr>
      <w:tr>
        <w:tc>
          <w:tcPr>
            <w:tcW w:type="dxa" w:w="4320"/>
          </w:tcPr>
          <w:p>
            <w:r>
              <w:rPr>
                <w:b w:val="0"/>
                <w:i w:val="0"/>
              </w:rPr>
              <w:t>Standalone spousal chat HTML</w:t>
            </w:r>
          </w:p>
        </w:tc>
        <w:tc>
          <w:tcPr>
            <w:tcW w:type="dxa" w:w="4320"/>
          </w:tcPr>
          <w:p>
            <w:hyperlink r:id="rId19">
              <w:r>
                <w:rPr>
                  <w:color w:val="0563C1"/>
                  <w:u w:val="single"/>
                </w:rPr>
                <w:t>templates/spousal-chat.html</w:t>
              </w:r>
            </w:hyperlink>
          </w:p>
        </w:tc>
      </w:tr>
    </w:tbl>
    <w:p>
      <w:r>
        <w:rPr>
          <w:b/>
          <w:i w:val="0"/>
        </w:rPr>
        <w:t>Frontend chat panels (</w:t>
      </w:r>
      <w:hyperlink r:id="rId20">
        <w:r>
          <w:rPr>
            <w:color w:val="0563C1"/>
            <w:u w:val="single"/>
          </w:rPr>
          <w:t>cloudact-ui/src/components/MatterWorkflow/</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Piece</w:t>
            </w:r>
          </w:p>
        </w:tc>
        <w:tc>
          <w:tcPr>
            <w:tcW w:type="dxa" w:w="4320"/>
          </w:tcPr>
          <w:p>
            <w:r>
              <w:rPr>
                <w:b/>
              </w:rPr>
              <w:t>File</w:t>
            </w:r>
          </w:p>
        </w:tc>
      </w:tr>
      <w:tr>
        <w:tc>
          <w:tcPr>
            <w:tcW w:type="dxa" w:w="4320"/>
          </w:tcPr>
          <w:p>
            <w:r>
              <w:rPr>
                <w:b w:val="0"/>
                <w:i w:val="0"/>
              </w:rPr>
              <w:t>Child support chat panel</w:t>
            </w:r>
          </w:p>
        </w:tc>
        <w:tc>
          <w:tcPr>
            <w:tcW w:type="dxa" w:w="4320"/>
          </w:tcPr>
          <w:p>
            <w:hyperlink r:id="rId21">
              <w:r>
                <w:rPr>
                  <w:color w:val="0563C1"/>
                  <w:u w:val="single"/>
                </w:rPr>
                <w:t>ChildSupportChatPanel.jsx</w:t>
              </w:r>
            </w:hyperlink>
          </w:p>
        </w:tc>
      </w:tr>
      <w:tr>
        <w:tc>
          <w:tcPr>
            <w:tcW w:type="dxa" w:w="4320"/>
          </w:tcPr>
          <w:p>
            <w:r>
              <w:rPr>
                <w:b w:val="0"/>
                <w:i w:val="0"/>
              </w:rPr>
              <w:t>Spousal support chat panel</w:t>
            </w:r>
          </w:p>
        </w:tc>
        <w:tc>
          <w:tcPr>
            <w:tcW w:type="dxa" w:w="4320"/>
          </w:tcPr>
          <w:p>
            <w:hyperlink r:id="rId22">
              <w:r>
                <w:rPr>
                  <w:color w:val="0563C1"/>
                  <w:u w:val="single"/>
                </w:rPr>
                <w:t>SpousalSupportChatPanel.jsx</w:t>
              </w:r>
            </w:hyperlink>
          </w:p>
        </w:tc>
      </w:tr>
      <w:tr>
        <w:tc>
          <w:tcPr>
            <w:tcW w:type="dxa" w:w="4320"/>
          </w:tcPr>
          <w:p>
            <w:r>
              <w:rPr>
                <w:b w:val="0"/>
                <w:i w:val="0"/>
              </w:rPr>
              <w:t>Matter intake chat panel</w:t>
            </w:r>
          </w:p>
        </w:tc>
        <w:tc>
          <w:tcPr>
            <w:tcW w:type="dxa" w:w="4320"/>
          </w:tcPr>
          <w:p>
            <w:hyperlink r:id="rId23">
              <w:r>
                <w:rPr>
                  <w:color w:val="0563C1"/>
                  <w:u w:val="single"/>
                </w:rPr>
                <w:t>MatterIntakeChatPanel.jsx</w:t>
              </w:r>
            </w:hyperlink>
          </w:p>
        </w:tc>
      </w:tr>
      <w:tr>
        <w:tc>
          <w:tcPr>
            <w:tcW w:type="dxa" w:w="4320"/>
          </w:tcPr>
          <w:p>
            <w:r>
              <w:rPr>
                <w:b w:val="0"/>
                <w:i w:val="0"/>
              </w:rPr>
              <w:t>Update information chat panel</w:t>
            </w:r>
          </w:p>
        </w:tc>
        <w:tc>
          <w:tcPr>
            <w:tcW w:type="dxa" w:w="4320"/>
          </w:tcPr>
          <w:p>
            <w:hyperlink r:id="rId24">
              <w:r>
                <w:rPr>
                  <w:color w:val="0563C1"/>
                  <w:u w:val="single"/>
                </w:rPr>
                <w:t>UpdateInformationChatPanel.jsx</w:t>
              </w:r>
            </w:hyperlink>
          </w:p>
        </w:tc>
      </w:tr>
      <w:tr>
        <w:tc>
          <w:tcPr>
            <w:tcW w:type="dxa" w:w="4320"/>
          </w:tcPr>
          <w:p>
            <w:r>
              <w:rPr>
                <w:b w:val="0"/>
                <w:i w:val="0"/>
              </w:rPr>
              <w:t>Floating calculator chat widget</w:t>
            </w:r>
          </w:p>
        </w:tc>
        <w:tc>
          <w:tcPr>
            <w:tcW w:type="dxa" w:w="4320"/>
          </w:tcPr>
          <w:p>
            <w:hyperlink r:id="rId25">
              <w:r>
                <w:rPr>
                  <w:color w:val="0563C1"/>
                  <w:u w:val="single"/>
                </w:rPr>
                <w:t>FamilyLawChat.jsx</w:t>
              </w:r>
            </w:hyperlink>
          </w:p>
        </w:tc>
      </w:tr>
      <w:tr>
        <w:tc>
          <w:tcPr>
            <w:tcW w:type="dxa" w:w="4320"/>
          </w:tcPr>
          <w:p>
            <w:r>
              <w:rPr>
                <w:b w:val="0"/>
                <w:i w:val="0"/>
              </w:rPr>
              <w:t>Shared chat/context styling</w:t>
            </w:r>
          </w:p>
        </w:tc>
        <w:tc>
          <w:tcPr>
            <w:tcW w:type="dxa" w:w="4320"/>
          </w:tcPr>
          <w:p>
            <w:hyperlink r:id="rId26">
              <w:r>
                <w:rPr>
                  <w:color w:val="0563C1"/>
                  <w:u w:val="single"/>
                </w:rPr>
                <w:t>MatterWorkflow.css</w:t>
              </w:r>
            </w:hyperlink>
          </w:p>
        </w:tc>
      </w:tr>
      <w:tr>
        <w:tc>
          <w:tcPr>
            <w:tcW w:type="dxa" w:w="4320"/>
          </w:tcPr>
          <w:p>
            <w:r>
              <w:rPr>
                <w:b w:val="0"/>
                <w:i w:val="0"/>
              </w:rPr>
              <w:t>Context builder for stored intake</w:t>
            </w:r>
          </w:p>
        </w:tc>
        <w:tc>
          <w:tcPr>
            <w:tcW w:type="dxa" w:w="4320"/>
          </w:tcPr>
          <w:p>
            <w:hyperlink r:id="rId27">
              <w:r>
                <w:rPr>
                  <w:color w:val="0563C1"/>
                  <w:u w:val="single"/>
                </w:rPr>
                <w:t>matterIntakeContext.js</w:t>
              </w:r>
            </w:hyperlink>
          </w:p>
        </w:tc>
      </w:tr>
    </w:tbl>
    <w:p/>
    <w:p>
      <w:pPr>
        <w:pStyle w:val="Heading2"/>
      </w:pPr>
      <w:r>
        <w:t>Background</w:t>
      </w:r>
    </w:p>
    <w:p>
      <w:r>
        <w:rPr>
          <w:b w:val="0"/>
          <w:i w:val="0"/>
        </w:rPr>
        <w:t>Calculating child support and spousal support in Canada requires accurate interpretation of the Federal Child Support Guidelines (Schedule I), the Spousal Support Advisory Guidelines (SSAG), and each province's full tax and benefit regime. Family-law professionals often spend significant time on manual lookups and iterative tax calculations across complex custody scenarios (separated, shared, split, hybrid) and both SSAG formulas (with and without children).</w:t>
      </w:r>
    </w:p>
    <w:p>
      <w:r>
        <w:rPr>
          <w:b w:val="0"/>
          <w:i w:val="0"/>
        </w:rPr>
        <w:t xml:space="preserve">The platform currently supports </w:t>
      </w:r>
      <w:r>
        <w:rPr>
          <w:b/>
          <w:i w:val="0"/>
        </w:rPr>
        <w:t>Ontario (ON)</w:t>
      </w:r>
      <w:r>
        <w:rPr>
          <w:b w:val="0"/>
          <w:i w:val="0"/>
        </w:rPr>
        <w:t xml:space="preserve"> and </w:t>
      </w:r>
      <w:r>
        <w:rPr>
          <w:b/>
          <w:i w:val="0"/>
        </w:rPr>
        <w:t>British Columbia (BC)</w:t>
      </w:r>
      <w:r>
        <w:rPr>
          <w:b w:val="0"/>
          <w:i w:val="0"/>
        </w:rPr>
        <w:t xml:space="preserve">. The province affects three things: the Schedule I table amounts used for child support lookups, the provincial tax brackets and credits applied by the tax engine, and the provincial benefit programs included in INDI calculations. The child support chat AI is required to ask the user which province the calculation is for before proceeding, and will not default to Ontario — the </w:t>
      </w:r>
      <w:r>
        <w:rPr>
          <w:rFonts w:ascii="Consolas" w:hAnsi="Consolas"/>
          <w:b w:val="0"/>
          <w:i w:val="0"/>
          <w:sz w:val="19"/>
        </w:rPr>
        <w:t>province</w:t>
      </w:r>
      <w:r>
        <w:rPr>
          <w:b w:val="0"/>
          <w:i w:val="0"/>
        </w:rPr>
        <w:t xml:space="preserve"> field must be set to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w:t>
      </w:r>
    </w:p>
    <w:p>
      <w:r>
        <w:rPr>
          <w:b w:val="0"/>
          <w:i w:val="0"/>
        </w:rPr>
        <w:t>The platform addresses this by combining a child support calculator, a spousal support calculator, a tax calculator, a matter-intake agent, and an update-information agent — all powered by Claude claude-sonnet-4-6 with tool-use support. Users receive accurate monthly and annual child support figures for all custody scenarios, low/mid/high SSAG spousal support ranges with duration, individual net disposable income (INDI) breakdowns, complete tax and benefit calculations, and auto-generated PDF reports. Calculation results and matter data are persisted through the authenticated frontend for legal-professional use.</w:t>
      </w:r>
    </w:p>
    <w:p/>
    <w:p>
      <w:pPr>
        <w:pStyle w:val="Heading2"/>
      </w:pPr>
      <w:r>
        <w:t>Technology stack (calculator-specific)</w:t>
      </w:r>
    </w:p>
    <w:p>
      <w:r>
        <w:rPr>
          <w:b w:val="0"/>
          <w:i w:val="0"/>
        </w:rPr>
        <w:t xml:space="preserve">The full deployment topology is in </w:t>
      </w:r>
      <w:hyperlink r:id="rId10">
        <w:r>
          <w:rPr>
            <w:color w:val="0563C1"/>
            <w:u w:val="single"/>
          </w:rPr>
          <w:t>ARCHITECTURE.md</w:t>
        </w:r>
      </w:hyperlink>
      <w:r>
        <w:rPr>
          <w:b w:val="0"/>
          <w:i w:val="0"/>
        </w:rPr>
        <w:t>. This section covers only the pieces that matter for the calculators.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What</w:t>
            </w:r>
          </w:p>
        </w:tc>
      </w:tr>
      <w:tr>
        <w:tc>
          <w:tcPr>
            <w:tcW w:type="dxa" w:w="4320"/>
          </w:tcPr>
          <w:p>
            <w:r>
              <w:rPr>
                <w:b/>
                <w:i w:val="0"/>
              </w:rPr>
              <w:t>Frontend</w:t>
            </w:r>
          </w:p>
        </w:tc>
        <w:tc>
          <w:tcPr>
            <w:tcW w:type="dxa" w:w="4320"/>
          </w:tcPr>
          <w:p>
            <w:r>
              <w:rPr>
                <w:b w:val="0"/>
                <w:i w:val="0"/>
              </w:rPr>
              <w:t xml:space="preserve">React + Vite for the authenticated legal-professional interface (matter workflow, intake forms, calculator chat panels). HTML5 / CSS3 / vanilla JavaScript for the standalone calculator form and legacy chat interface. </w:t>
            </w:r>
            <w:r>
              <w:rPr>
                <w:rFonts w:ascii="Consolas" w:hAnsi="Consolas"/>
                <w:b w:val="0"/>
                <w:i w:val="0"/>
                <w:sz w:val="19"/>
              </w:rPr>
              <w:t>marked.js</w:t>
            </w:r>
            <w:r>
              <w:rPr>
                <w:b w:val="0"/>
                <w:i w:val="0"/>
              </w:rPr>
              <w:t xml:space="preserve"> renders AI markdown responses inside chat bubbles as styled HTML.</w:t>
            </w:r>
          </w:p>
        </w:tc>
      </w:tr>
      <w:tr>
        <w:tc>
          <w:tcPr>
            <w:tcW w:type="dxa" w:w="4320"/>
          </w:tcPr>
          <w:p>
            <w:r>
              <w:rPr>
                <w:b/>
                <w:i w:val="0"/>
              </w:rPr>
              <w:t>Backend</w:t>
            </w:r>
          </w:p>
        </w:tc>
        <w:tc>
          <w:tcPr>
            <w:tcW w:type="dxa" w:w="4320"/>
          </w:tcPr>
          <w:p>
            <w:r>
              <w:rPr>
                <w:b w:val="0"/>
                <w:i w:val="0"/>
              </w:rPr>
              <w:t>Python 3 / Flask handling all calculation endpoints (</w:t>
            </w:r>
            <w:r>
              <w:rPr>
                <w:rFonts w:ascii="Consolas" w:hAnsi="Consolas"/>
                <w:b w:val="0"/>
                <w:i w:val="0"/>
                <w:sz w:val="19"/>
              </w:rPr>
              <w:t>/calculate</w:t>
            </w:r>
            <w:r>
              <w:rPr>
                <w:b w:val="0"/>
                <w:i w:val="0"/>
              </w:rPr>
              <w:t xml:space="preserve">, </w:t>
            </w:r>
            <w:r>
              <w:rPr>
                <w:rFonts w:ascii="Consolas" w:hAnsi="Consolas"/>
                <w:b w:val="0"/>
                <w:i w:val="0"/>
                <w:sz w:val="19"/>
              </w:rPr>
              <w:t>/chat</w:t>
            </w:r>
            <w:r>
              <w:rPr>
                <w:b w:val="0"/>
                <w:i w:val="0"/>
              </w:rPr>
              <w:t xml:space="preserve">, </w:t>
            </w:r>
            <w:r>
              <w:rPr>
                <w:rFonts w:ascii="Consolas" w:hAnsi="Consolas"/>
                <w:b w:val="0"/>
                <w:i w:val="0"/>
                <w:sz w:val="19"/>
              </w:rPr>
              <w:t>/spousal-calculate</w:t>
            </w:r>
            <w:r>
              <w:rPr>
                <w:b w:val="0"/>
                <w:i w:val="0"/>
              </w:rPr>
              <w:t xml:space="preserve">, </w:t>
            </w:r>
            <w:r>
              <w:rPr>
                <w:rFonts w:ascii="Consolas" w:hAnsi="Consolas"/>
                <w:b w:val="0"/>
                <w:i w:val="0"/>
                <w:sz w:val="19"/>
              </w:rPr>
              <w:t>/spousal-chat</w:t>
            </w:r>
            <w:r>
              <w:rPr>
                <w:b w:val="0"/>
                <w:i w:val="0"/>
              </w:rPr>
              <w:t xml:space="preserve">, </w:t>
            </w:r>
            <w:r>
              <w:rPr>
                <w:rFonts w:ascii="Consolas" w:hAnsi="Consolas"/>
                <w:b w:val="0"/>
                <w:i w:val="0"/>
                <w:sz w:val="19"/>
              </w:rPr>
              <w:t>/intake-chat</w:t>
            </w:r>
            <w:r>
              <w:rPr>
                <w:b w:val="0"/>
                <w:i w:val="0"/>
              </w:rPr>
              <w:t xml:space="preserve">, </w:t>
            </w:r>
            <w:r>
              <w:rPr>
                <w:rFonts w:ascii="Consolas" w:hAnsi="Consolas"/>
                <w:b w:val="0"/>
                <w:i w:val="0"/>
                <w:sz w:val="19"/>
              </w:rPr>
              <w:t>/update-chat</w:t>
            </w:r>
            <w:r>
              <w:rPr>
                <w:b w:val="0"/>
                <w:i w:val="0"/>
              </w:rPr>
              <w:t xml:space="preserve">, </w:t>
            </w:r>
            <w:r>
              <w:rPr>
                <w:rFonts w:ascii="Consolas" w:hAnsi="Consolas"/>
                <w:b w:val="0"/>
                <w:i w:val="0"/>
                <w:sz w:val="19"/>
              </w:rPr>
              <w:t>/tax-chat</w:t>
            </w:r>
            <w:r>
              <w:rPr>
                <w:b w:val="0"/>
                <w:i w:val="0"/>
              </w:rPr>
              <w:t xml:space="preserve">, </w:t>
            </w:r>
            <w:r>
              <w:rPr>
                <w:rFonts w:ascii="Consolas" w:hAnsi="Consolas"/>
                <w:b w:val="0"/>
                <w:i w:val="0"/>
                <w:sz w:val="19"/>
              </w:rPr>
              <w:t>/t1-extract</w:t>
            </w:r>
            <w:r>
              <w:rPr>
                <w:b w:val="0"/>
                <w:i w:val="0"/>
              </w:rPr>
              <w:t>) plus AI agent loops and PDF generation. The Anthropic Python SDK interfaces with Claude claude-sonnet-4-6 for every AI chat assistant with tool-use support.</w:t>
            </w:r>
          </w:p>
        </w:tc>
      </w:tr>
      <w:tr>
        <w:tc>
          <w:tcPr>
            <w:tcW w:type="dxa" w:w="4320"/>
          </w:tcPr>
          <w:p>
            <w:r>
              <w:rPr>
                <w:b/>
                <w:i w:val="0"/>
              </w:rPr>
              <w:t>Child support engine</w:t>
            </w:r>
          </w:p>
        </w:tc>
        <w:tc>
          <w:tcPr>
            <w:tcW w:type="dxa" w:w="4320"/>
          </w:tcPr>
          <w:p>
            <w:hyperlink r:id="rId13">
              <w:r>
                <w:rPr>
                  <w:color w:val="0563C1"/>
                  <w:u w:val="single"/>
                </w:rPr>
                <w:t>child_support.py</w:t>
              </w:r>
            </w:hyperlink>
            <w:r>
              <w:rPr>
                <w:b w:val="0"/>
                <w:i w:val="0"/>
              </w:rPr>
              <w:t xml:space="preserve"> implements the Federal Child Support Guidelines for all four custody scenarios. Province-aware: each party carries a </w:t>
            </w:r>
            <w:r>
              <w:rPr>
                <w:rFonts w:ascii="Consolas" w:hAnsi="Consolas"/>
                <w:b w:val="0"/>
                <w:i w:val="0"/>
                <w:sz w:val="19"/>
              </w:rPr>
              <w:t>province</w:t>
            </w:r>
            <w:r>
              <w:rPr>
                <w:b w:val="0"/>
                <w:i w:val="0"/>
              </w:rPr>
              <w:t xml:space="preserve"> field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that selects the correct Schedule I rows.</w:t>
            </w:r>
          </w:p>
        </w:tc>
      </w:tr>
      <w:tr>
        <w:tc>
          <w:tcPr>
            <w:tcW w:type="dxa" w:w="4320"/>
          </w:tcPr>
          <w:p>
            <w:r>
              <w:rPr>
                <w:b/>
                <w:i w:val="0"/>
              </w:rPr>
              <w:t>Spousal support engine</w:t>
            </w:r>
          </w:p>
        </w:tc>
        <w:tc>
          <w:tcPr>
            <w:tcW w:type="dxa" w:w="4320"/>
          </w:tcPr>
          <w:p>
            <w:hyperlink r:id="rId14">
              <w:r>
                <w:rPr>
                  <w:color w:val="0563C1"/>
                  <w:u w:val="single"/>
                </w:rPr>
                <w:t>spousal_support.py</w:t>
              </w:r>
            </w:hyperlink>
            <w:r>
              <w:rPr>
                <w:b w:val="0"/>
                <w:i w:val="0"/>
              </w:rPr>
              <w:t xml:space="preserve"> provides three APIs: a without-children percentage formula (1.5% / 1.75% / 2.0% × gross income difference × years), a with-children iterative tax-converging formula (damped fixed-point iteration calling the tax engine per step), and a wrapper that routes to the appropriate formula. Accepts a </w:t>
            </w:r>
            <w:r>
              <w:rPr>
                <w:rFonts w:ascii="Consolas" w:hAnsi="Consolas"/>
                <w:b w:val="0"/>
                <w:i w:val="0"/>
                <w:sz w:val="19"/>
              </w:rPr>
              <w:t>province</w:t>
            </w:r>
            <w:r>
              <w:rPr>
                <w:b w:val="0"/>
                <w:i w:val="0"/>
              </w:rPr>
              <w:t xml:space="preserve"> parameter (defaults to </w:t>
            </w:r>
            <w:r>
              <w:rPr>
                <w:rFonts w:ascii="Consolas" w:hAnsi="Consolas"/>
                <w:b w:val="0"/>
                <w:i w:val="0"/>
                <w:sz w:val="19"/>
              </w:rPr>
              <w:t>"ON"</w:t>
            </w:r>
            <w:r>
              <w:rPr>
                <w:b w:val="0"/>
                <w:i w:val="0"/>
              </w:rPr>
              <w:t>) that is forwarded to the tax engine so provincial taxes converge correctly for BC or Ontario.</w:t>
            </w:r>
          </w:p>
        </w:tc>
      </w:tr>
      <w:tr>
        <w:tc>
          <w:tcPr>
            <w:tcW w:type="dxa" w:w="4320"/>
          </w:tcPr>
          <w:p>
            <w:r>
              <w:rPr>
                <w:b/>
                <w:i w:val="0"/>
              </w:rPr>
              <w:t>Tax engine</w:t>
            </w:r>
          </w:p>
        </w:tc>
        <w:tc>
          <w:tcPr>
            <w:tcW w:type="dxa" w:w="4320"/>
          </w:tcPr>
          <w:p>
            <w:hyperlink r:id="rId15">
              <w:r>
                <w:rPr>
                  <w:color w:val="0563C1"/>
                  <w:u w:val="single"/>
                </w:rPr>
                <w:t>tax.py</w:t>
              </w:r>
            </w:hyperlink>
            <w:r>
              <w:rPr>
                <w:b w:val="0"/>
                <w:i w:val="0"/>
              </w:rPr>
              <w:t xml:space="preserve"> — full Canadian income-tax and benefits calculator supporting Ontario and British Columbia. Year-variable constants (bracket tables, indexed amounts) are stored in </w:t>
            </w:r>
            <w:hyperlink r:id="rId16">
              <w:r>
                <w:rPr>
                  <w:color w:val="0563C1"/>
                  <w:u w:val="single"/>
                </w:rPr>
                <w:t>tax_constants.json</w:t>
              </w:r>
            </w:hyperlink>
            <w:r>
              <w:rPr>
                <w:b w:val="0"/>
                <w:i w:val="0"/>
              </w:rPr>
              <w:t xml:space="preserve">. </w:t>
            </w:r>
            <w:r>
              <w:rPr>
                <w:b/>
                <w:i w:val="0"/>
              </w:rPr>
              <w:t>Ontario-specific:</w:t>
            </w:r>
            <w:r>
              <w:rPr>
                <w:b w:val="0"/>
                <w:i w:val="0"/>
              </w:rPr>
              <w:t xml:space="preserve"> provincial income tax, surtax, Ontario health premium, LIFT credit, Ontario Child Benefit (OCB), Ontario Sales Tax Credit (OSTC). </w:t>
            </w:r>
            <w:r>
              <w:rPr>
                <w:b/>
                <w:i w:val="0"/>
              </w:rPr>
              <w:t>BC-specific:</w:t>
            </w:r>
            <w:r>
              <w:rPr>
                <w:b w:val="0"/>
                <w:i w:val="0"/>
              </w:rPr>
              <w:t xml:space="preserve"> provincial income tax with BC tax reduction, BC Child Benefit, BC Climate Action Tax Credit, BC-specific CWB thresholds. </w:t>
            </w:r>
            <w:r>
              <w:rPr>
                <w:b/>
                <w:i w:val="0"/>
              </w:rPr>
              <w:t>Shared federal:</w:t>
            </w:r>
            <w:r>
              <w:rPr>
                <w:b w:val="0"/>
                <w:i w:val="0"/>
              </w:rPr>
              <w:t xml:space="preserve"> income tax, CPP/EI, Canada Workers Benefit (CWB), Canada Child Benefit (CCB), GST/HST credit, Climate Action Incentive Payment (CAIP).</w:t>
            </w:r>
          </w:p>
        </w:tc>
      </w:tr>
      <w:tr>
        <w:tc>
          <w:tcPr>
            <w:tcW w:type="dxa" w:w="4320"/>
          </w:tcPr>
          <w:p>
            <w:r>
              <w:rPr>
                <w:b/>
                <w:i w:val="0"/>
              </w:rPr>
              <w:t>Data</w:t>
            </w:r>
          </w:p>
        </w:tc>
        <w:tc>
          <w:tcPr>
            <w:tcW w:type="dxa" w:w="4320"/>
          </w:tcPr>
          <w:p>
            <w:hyperlink r:id="rId17">
              <w:r>
                <w:rPr>
                  <w:color w:val="0563C1"/>
                  <w:u w:val="single"/>
                </w:rPr>
                <w:t>schedule_i.json</w:t>
              </w:r>
            </w:hyperlink>
            <w:r>
              <w:rPr>
                <w:b w:val="0"/>
                <w:i w:val="0"/>
              </w:rPr>
              <w:t xml:space="preserve"> (2025 Federal Child Support Guidelines Schedule I table for both ON and BC — 1608 rows, keyed by </w:t>
            </w:r>
            <w:r>
              <w:rPr>
                <w:rFonts w:ascii="Consolas" w:hAnsi="Consolas"/>
                <w:b w:val="0"/>
                <w:i w:val="0"/>
                <w:sz w:val="19"/>
              </w:rPr>
              <w:t>province</w:t>
            </w:r>
            <w:r>
              <w:rPr>
                <w:b w:val="0"/>
                <w:i w:val="0"/>
              </w:rPr>
              <w:t xml:space="preserve">). </w:t>
            </w:r>
            <w:hyperlink r:id="rId16">
              <w:r>
                <w:rPr>
                  <w:color w:val="0563C1"/>
                  <w:u w:val="single"/>
                </w:rPr>
                <w:t>tax_constants.json</w:t>
              </w:r>
            </w:hyperlink>
            <w:r>
              <w:rPr>
                <w:b w:val="0"/>
                <w:i w:val="0"/>
              </w:rPr>
              <w:t xml:space="preserve"> (year-keyed tax brackets and indexed amounts for both provinces). Prisma / PostgreSQL (auth server and matter database, separate service). No persistent user data in the calculator backend — all session data is in-memory; persisted data flows through the authenticated frontend into the auth-server database.</w:t>
            </w:r>
          </w:p>
        </w:tc>
      </w:tr>
      <w:tr>
        <w:tc>
          <w:tcPr>
            <w:tcW w:type="dxa" w:w="4320"/>
          </w:tcPr>
          <w:p>
            <w:r>
              <w:rPr>
                <w:b/>
                <w:i w:val="0"/>
              </w:rPr>
              <w:t>PDF generation</w:t>
            </w:r>
          </w:p>
        </w:tc>
        <w:tc>
          <w:tcPr>
            <w:tcW w:type="dxa" w:w="4320"/>
          </w:tcPr>
          <w:p>
            <w:r>
              <w:rPr>
                <w:b w:val="0"/>
                <w:i w:val="0"/>
              </w:rPr>
              <w:t>ReportLab produces PDF reports for child and spousal support results.</w:t>
            </w:r>
          </w:p>
        </w:tc>
      </w:tr>
      <w:tr>
        <w:tc>
          <w:tcPr>
            <w:tcW w:type="dxa" w:w="4320"/>
          </w:tcPr>
          <w:p>
            <w:r>
              <w:rPr>
                <w:b/>
                <w:i w:val="0"/>
              </w:rPr>
              <w:t>Hosting</w:t>
            </w:r>
          </w:p>
        </w:tc>
        <w:tc>
          <w:tcPr>
            <w:tcW w:type="dxa" w:w="4320"/>
          </w:tcPr>
          <w:p>
            <w:r>
              <w:rPr>
                <w:b w:val="0"/>
                <w:i w:val="0"/>
              </w:rPr>
              <w:t xml:space="preserve">Render.com for the Flask backend; Vercel for the React frontend. See </w:t>
            </w:r>
            <w:hyperlink r:id="rId10">
              <w:r>
                <w:rPr>
                  <w:color w:val="0563C1"/>
                  <w:u w:val="single"/>
                </w:rPr>
                <w:t>ARCHITECTURE.md</w:t>
              </w:r>
            </w:hyperlink>
            <w:r>
              <w:rPr>
                <w:b w:val="0"/>
                <w:i w:val="0"/>
              </w:rPr>
              <w:t xml:space="preserve"> for details.</w:t>
            </w:r>
          </w:p>
        </w:tc>
      </w:tr>
    </w:tbl>
    <w:p/>
    <w:p>
      <w:pPr>
        <w:pStyle w:val="Heading2"/>
      </w:pPr>
      <w:r>
        <w:t>Province support</w:t>
      </w:r>
    </w:p>
    <w:p>
      <w:r>
        <w:rPr>
          <w:b w:val="0"/>
          <w:i w:val="0"/>
        </w:rPr>
        <w:t>The platform currently supports two provinces. Adding a new province requires three data additions and no structural code changes: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Ontario (ON)</w:t>
            </w:r>
          </w:p>
        </w:tc>
        <w:tc>
          <w:tcPr>
            <w:tcW w:type="dxa" w:w="2880"/>
          </w:tcPr>
          <w:p>
            <w:r>
              <w:rPr>
                <w:b/>
              </w:rPr>
              <w:t>British Columbia (BC)</w:t>
            </w:r>
          </w:p>
        </w:tc>
      </w:tr>
      <w:tr>
        <w:tc>
          <w:tcPr>
            <w:tcW w:type="dxa" w:w="2880"/>
          </w:tcPr>
          <w:p>
            <w:r>
              <w:rPr>
                <w:b/>
                <w:i w:val="0"/>
              </w:rPr>
              <w:t>Schedule I rows</w:t>
            </w:r>
          </w:p>
        </w:tc>
        <w:tc>
          <w:tcPr>
            <w:tcW w:type="dxa" w:w="2880"/>
          </w:tcPr>
          <w:p>
            <w:hyperlink r:id="rId17">
              <w:r>
                <w:rPr>
                  <w:color w:val="0563C1"/>
                  <w:u w:val="single"/>
                </w:rPr>
                <w:t>schedule_i.json</w:t>
              </w:r>
            </w:hyperlink>
            <w:r>
              <w:rPr>
                <w:b w:val="0"/>
                <w:i w:val="0"/>
              </w:rPr>
              <w:t xml:space="preserve">, </w:t>
            </w:r>
            <w:r>
              <w:rPr>
                <w:rFonts w:ascii="Consolas" w:hAnsi="Consolas"/>
                <w:b w:val="0"/>
                <w:i w:val="0"/>
                <w:sz w:val="19"/>
              </w:rPr>
              <w:t>"province": "ON"</w:t>
            </w:r>
          </w:p>
        </w:tc>
        <w:tc>
          <w:tcPr>
            <w:tcW w:type="dxa" w:w="2880"/>
          </w:tcPr>
          <w:p>
            <w:hyperlink r:id="rId17">
              <w:r>
                <w:rPr>
                  <w:color w:val="0563C1"/>
                  <w:u w:val="single"/>
                </w:rPr>
                <w:t>schedule_i.json</w:t>
              </w:r>
            </w:hyperlink>
            <w:r>
              <w:rPr>
                <w:b w:val="0"/>
                <w:i w:val="0"/>
              </w:rPr>
              <w:t xml:space="preserve">, </w:t>
            </w:r>
            <w:r>
              <w:rPr>
                <w:rFonts w:ascii="Consolas" w:hAnsi="Consolas"/>
                <w:b w:val="0"/>
                <w:i w:val="0"/>
                <w:sz w:val="19"/>
              </w:rPr>
              <w:t>"province": "BC"</w:t>
            </w:r>
          </w:p>
        </w:tc>
      </w:tr>
      <w:tr>
        <w:tc>
          <w:tcPr>
            <w:tcW w:type="dxa" w:w="2880"/>
          </w:tcPr>
          <w:p>
            <w:r>
              <w:rPr>
                <w:b/>
                <w:i w:val="0"/>
              </w:rPr>
              <w:t>Tax brackets &amp; credits</w:t>
            </w:r>
          </w:p>
        </w:tc>
        <w:tc>
          <w:tcPr>
            <w:tcW w:type="dxa" w:w="2880"/>
          </w:tcPr>
          <w:p>
            <w:hyperlink r:id="rId16">
              <w:r>
                <w:rPr>
                  <w:color w:val="0563C1"/>
                  <w:u w:val="single"/>
                </w:rPr>
                <w:t>tax_constants.json</w:t>
              </w:r>
            </w:hyperlink>
            <w:r>
              <w:rPr>
                <w:b w:val="0"/>
                <w:i w:val="0"/>
              </w:rPr>
              <w:t xml:space="preserve"> — </w:t>
            </w:r>
            <w:r>
              <w:rPr>
                <w:rFonts w:ascii="Consolas" w:hAnsi="Consolas"/>
                <w:b w:val="0"/>
                <w:i w:val="0"/>
                <w:sz w:val="19"/>
              </w:rPr>
              <w:t>ON_BRACKETS</w:t>
            </w:r>
            <w:r>
              <w:rPr>
                <w:b w:val="0"/>
                <w:i w:val="0"/>
              </w:rPr>
              <w:t xml:space="preserve">, </w:t>
            </w:r>
            <w:r>
              <w:rPr>
                <w:rFonts w:ascii="Consolas" w:hAnsi="Consolas"/>
                <w:b w:val="0"/>
                <w:i w:val="0"/>
                <w:sz w:val="19"/>
              </w:rPr>
              <w:t>BASIC_PERSONAL_AMOUNT_ON</w:t>
            </w:r>
            <w:r>
              <w:rPr>
                <w:b w:val="0"/>
                <w:i w:val="0"/>
              </w:rPr>
              <w:t>, Ontario health premium, surtax, LIFT, OCB, OSTC constants</w:t>
            </w:r>
          </w:p>
        </w:tc>
        <w:tc>
          <w:tcPr>
            <w:tcW w:type="dxa" w:w="2880"/>
          </w:tcPr>
          <w:p>
            <w:hyperlink r:id="rId16">
              <w:r>
                <w:rPr>
                  <w:color w:val="0563C1"/>
                  <w:u w:val="single"/>
                </w:rPr>
                <w:t>tax_constants.json</w:t>
              </w:r>
            </w:hyperlink>
            <w:r>
              <w:rPr>
                <w:b w:val="0"/>
                <w:i w:val="0"/>
              </w:rPr>
              <w:t xml:space="preserve"> — </w:t>
            </w:r>
            <w:r>
              <w:rPr>
                <w:rFonts w:ascii="Consolas" w:hAnsi="Consolas"/>
                <w:b w:val="0"/>
                <w:i w:val="0"/>
                <w:sz w:val="19"/>
              </w:rPr>
              <w:t>BC_BRACKETS</w:t>
            </w:r>
            <w:r>
              <w:rPr>
                <w:b w:val="0"/>
                <w:i w:val="0"/>
              </w:rPr>
              <w:t xml:space="preserve">, </w:t>
            </w:r>
            <w:r>
              <w:rPr>
                <w:rFonts w:ascii="Consolas" w:hAnsi="Consolas"/>
                <w:b w:val="0"/>
                <w:i w:val="0"/>
                <w:sz w:val="19"/>
              </w:rPr>
              <w:t>BASIC_PERSONAL_AMOUNT_BC</w:t>
            </w:r>
            <w:r>
              <w:rPr>
                <w:b w:val="0"/>
                <w:i w:val="0"/>
              </w:rPr>
              <w:t>, BC tax reduction, BC Child Benefit, BC Climate Action constants</w:t>
            </w:r>
          </w:p>
        </w:tc>
      </w:tr>
      <w:tr>
        <w:tc>
          <w:tcPr>
            <w:tcW w:type="dxa" w:w="2880"/>
          </w:tcPr>
          <w:p>
            <w:r>
              <w:rPr>
                <w:b/>
                <w:i w:val="0"/>
              </w:rPr>
              <w:t>Tax engine functions</w:t>
            </w:r>
          </w:p>
        </w:tc>
        <w:tc>
          <w:tcPr>
            <w:tcW w:type="dxa" w:w="2880"/>
          </w:tcPr>
          <w:p>
            <w:r>
              <w:rPr>
                <w:rFonts w:ascii="Consolas" w:hAnsi="Consolas"/>
                <w:b w:val="0"/>
                <w:i w:val="0"/>
                <w:sz w:val="19"/>
              </w:rPr>
              <w:t>calculate_ontario_tax()</w:t>
            </w:r>
            <w:r>
              <w:rPr>
                <w:b w:val="0"/>
                <w:i w:val="0"/>
              </w:rPr>
              <w:t xml:space="preserve">, Ontario surtax, Ontario health premium, </w:t>
            </w:r>
            <w:r>
              <w:rPr>
                <w:rFonts w:ascii="Consolas" w:hAnsi="Consolas"/>
                <w:b w:val="0"/>
                <w:i w:val="0"/>
                <w:sz w:val="19"/>
              </w:rPr>
              <w:t>calculate_ontario_child_benefit()</w:t>
            </w:r>
            <w:r>
              <w:rPr>
                <w:b w:val="0"/>
                <w:i w:val="0"/>
              </w:rPr>
              <w:t xml:space="preserve">, </w:t>
            </w:r>
            <w:r>
              <w:rPr>
                <w:rFonts w:ascii="Consolas" w:hAnsi="Consolas"/>
                <w:b w:val="0"/>
                <w:i w:val="0"/>
                <w:sz w:val="19"/>
              </w:rPr>
              <w:t>calculate_ontario_sales_tax_credit()</w:t>
            </w:r>
          </w:p>
        </w:tc>
        <w:tc>
          <w:tcPr>
            <w:tcW w:type="dxa" w:w="2880"/>
          </w:tcPr>
          <w:p>
            <w:r>
              <w:rPr>
                <w:rFonts w:ascii="Consolas" w:hAnsi="Consolas"/>
                <w:b w:val="0"/>
                <w:i w:val="0"/>
                <w:sz w:val="19"/>
              </w:rPr>
              <w:t>calculate_bc_tax()</w:t>
            </w:r>
            <w:r>
              <w:rPr>
                <w:b w:val="0"/>
                <w:i w:val="0"/>
              </w:rPr>
              <w:t xml:space="preserve">, BC tax reduction, </w:t>
            </w:r>
            <w:r>
              <w:rPr>
                <w:rFonts w:ascii="Consolas" w:hAnsi="Consolas"/>
                <w:b w:val="0"/>
                <w:i w:val="0"/>
                <w:sz w:val="19"/>
              </w:rPr>
              <w:t>calculate_bc_child_benefit()</w:t>
            </w:r>
            <w:r>
              <w:rPr>
                <w:b w:val="0"/>
                <w:i w:val="0"/>
              </w:rPr>
              <w:t xml:space="preserve">, </w:t>
            </w:r>
            <w:r>
              <w:rPr>
                <w:rFonts w:ascii="Consolas" w:hAnsi="Consolas"/>
                <w:b w:val="0"/>
                <w:i w:val="0"/>
                <w:sz w:val="19"/>
              </w:rPr>
              <w:t>calculate_bc_climate_action()</w:t>
            </w:r>
            <w:r>
              <w:rPr>
                <w:b w:val="0"/>
                <w:i w:val="0"/>
              </w:rPr>
              <w:t>, BC-specific CWB thresholds</w:t>
            </w:r>
          </w:p>
        </w:tc>
      </w:tr>
      <w:tr>
        <w:tc>
          <w:tcPr>
            <w:tcW w:type="dxa" w:w="2880"/>
          </w:tcPr>
          <w:p>
            <w:r>
              <w:rPr>
                <w:b/>
                <w:i w:val="0"/>
              </w:rPr>
              <w:t>Child support</w:t>
            </w:r>
          </w:p>
        </w:tc>
        <w:tc>
          <w:tcPr>
            <w:tcW w:type="dxa" w:w="2880"/>
          </w:tcPr>
          <w:p>
            <w:r>
              <w:rPr>
                <w:b w:val="0"/>
                <w:i w:val="0"/>
              </w:rPr>
              <w:t>Fully supported</w:t>
            </w:r>
          </w:p>
        </w:tc>
        <w:tc>
          <w:tcPr>
            <w:tcW w:type="dxa" w:w="2880"/>
          </w:tcPr>
          <w:p>
            <w:r>
              <w:rPr>
                <w:b w:val="0"/>
                <w:i w:val="0"/>
              </w:rPr>
              <w:t>Fully supported (same engine, different Schedule I rows)</w:t>
            </w:r>
          </w:p>
        </w:tc>
      </w:tr>
      <w:tr>
        <w:tc>
          <w:tcPr>
            <w:tcW w:type="dxa" w:w="2880"/>
          </w:tcPr>
          <w:p>
            <w:r>
              <w:rPr>
                <w:b/>
                <w:i w:val="0"/>
              </w:rPr>
              <w:t>Spousal support</w:t>
            </w:r>
          </w:p>
        </w:tc>
        <w:tc>
          <w:tcPr>
            <w:tcW w:type="dxa" w:w="2880"/>
          </w:tcPr>
          <w:p>
            <w:r>
              <w:rPr>
                <w:b w:val="0"/>
                <w:i w:val="0"/>
              </w:rPr>
              <w:t>Fully supported (iterative formula calls ON tax engine)</w:t>
            </w:r>
          </w:p>
        </w:tc>
        <w:tc>
          <w:tcPr>
            <w:tcW w:type="dxa" w:w="2880"/>
          </w:tcPr>
          <w:p>
            <w:r>
              <w:rPr>
                <w:b w:val="0"/>
                <w:i w:val="0"/>
              </w:rPr>
              <w:t xml:space="preserve">Fully supported (iterative formula calls BC tax engine via </w:t>
            </w:r>
            <w:r>
              <w:rPr>
                <w:rFonts w:ascii="Consolas" w:hAnsi="Consolas"/>
                <w:b w:val="0"/>
                <w:i w:val="0"/>
                <w:sz w:val="19"/>
              </w:rPr>
              <w:t>province</w:t>
            </w:r>
            <w:r>
              <w:rPr>
                <w:b w:val="0"/>
                <w:i w:val="0"/>
              </w:rPr>
              <w:t xml:space="preserve"> parameter)</w:t>
            </w:r>
          </w:p>
        </w:tc>
      </w:tr>
      <w:tr>
        <w:tc>
          <w:tcPr>
            <w:tcW w:type="dxa" w:w="2880"/>
          </w:tcPr>
          <w:p>
            <w:r>
              <w:rPr>
                <w:b/>
                <w:i w:val="0"/>
              </w:rPr>
              <w:t>Child support AI chat</w:t>
            </w:r>
          </w:p>
        </w:tc>
        <w:tc>
          <w:tcPr>
            <w:tcW w:type="dxa" w:w="2880"/>
          </w:tcPr>
          <w:p>
            <w:r>
              <w:rPr>
                <w:b w:val="0"/>
                <w:i w:val="0"/>
              </w:rPr>
              <w:t>Supported — AI asks province early</w:t>
            </w:r>
          </w:p>
        </w:tc>
        <w:tc>
          <w:tcPr>
            <w:tcW w:type="dxa" w:w="2880"/>
          </w:tcPr>
          <w:p>
            <w:r>
              <w:rPr>
                <w:b w:val="0"/>
                <w:i w:val="0"/>
              </w:rPr>
              <w:t>Supported — AI asks province early</w:t>
            </w:r>
          </w:p>
        </w:tc>
      </w:tr>
      <w:tr>
        <w:tc>
          <w:tcPr>
            <w:tcW w:type="dxa" w:w="2880"/>
          </w:tcPr>
          <w:p>
            <w:r>
              <w:rPr>
                <w:b/>
                <w:i w:val="0"/>
              </w:rPr>
              <w:t>Tax AI chat</w:t>
            </w:r>
          </w:p>
        </w:tc>
        <w:tc>
          <w:tcPr>
            <w:tcW w:type="dxa" w:w="2880"/>
          </w:tcPr>
          <w:p>
            <w:r>
              <w:rPr>
                <w:b w:val="0"/>
                <w:i w:val="0"/>
              </w:rPr>
              <w:t>Supported (system prompt scoped to ON)</w:t>
            </w:r>
          </w:p>
        </w:tc>
        <w:tc>
          <w:tcPr>
            <w:tcW w:type="dxa" w:w="2880"/>
          </w:tcPr>
          <w:p>
            <w:r>
              <w:rPr>
                <w:b w:val="0"/>
                <w:i w:val="0"/>
              </w:rPr>
              <w:t>Engine supports BC; AI prompt currently restricts to ON only</w:t>
            </w:r>
          </w:p>
        </w:tc>
      </w:tr>
    </w:tbl>
    <w:p>
      <w:r>
        <w:rPr>
          <w:b w:val="0"/>
          <w:i w:val="0"/>
        </w:rPr>
        <w:t xml:space="preserve">The child support engine in </w:t>
      </w:r>
      <w:hyperlink r:id="rId13">
        <w:r>
          <w:rPr>
            <w:color w:val="0563C1"/>
            <w:u w:val="single"/>
          </w:rPr>
          <w:t>child_support.py</w:t>
        </w:r>
      </w:hyperlink>
      <w:r>
        <w:rPr>
          <w:b w:val="0"/>
          <w:i w:val="0"/>
        </w:rPr>
        <w:t xml:space="preserve"> is inherently province-agnostic — it looks up Schedule I rows by province and computes obligations from whatever rows match. The tax engine in </w:t>
      </w:r>
      <w:hyperlink r:id="rId15">
        <w:r>
          <w:rPr>
            <w:color w:val="0563C1"/>
            <w:u w:val="single"/>
          </w:rPr>
          <w:t>tax.py</w:t>
        </w:r>
      </w:hyperlink>
      <w:r>
        <w:rPr>
          <w:b w:val="0"/>
          <w:i w:val="0"/>
        </w:rPr>
        <w:t xml:space="preserve"> branches on </w:t>
      </w:r>
      <w:r>
        <w:rPr>
          <w:rFonts w:ascii="Consolas" w:hAnsi="Consolas"/>
          <w:b w:val="0"/>
          <w:i w:val="0"/>
          <w:sz w:val="19"/>
        </w:rPr>
        <w:t>province == "BC"</w:t>
      </w:r>
      <w:r>
        <w:rPr>
          <w:b w:val="0"/>
          <w:i w:val="0"/>
        </w:rPr>
        <w:t xml:space="preserve"> vs </w:t>
      </w:r>
      <w:r>
        <w:rPr>
          <w:rFonts w:ascii="Consolas" w:hAnsi="Consolas"/>
          <w:b w:val="0"/>
          <w:i w:val="0"/>
          <w:sz w:val="19"/>
        </w:rPr>
        <w:t>"ON"</w:t>
      </w:r>
      <w:r>
        <w:rPr>
          <w:b w:val="0"/>
          <w:i w:val="0"/>
        </w:rPr>
        <w:t xml:space="preserve"> at each province-specific calculation point (provincial credits, provincial tax, provincial benefits). To add a third province, one would add its Schedule I rows to </w:t>
      </w:r>
      <w:r>
        <w:rPr>
          <w:rFonts w:ascii="Consolas" w:hAnsi="Consolas"/>
          <w:b w:val="0"/>
          <w:i w:val="0"/>
          <w:sz w:val="19"/>
        </w:rPr>
        <w:t>schedule_i.json</w:t>
      </w:r>
      <w:r>
        <w:rPr>
          <w:b w:val="0"/>
          <w:i w:val="0"/>
        </w:rPr>
        <w:t xml:space="preserve">, its tax constants to </w:t>
      </w:r>
      <w:r>
        <w:rPr>
          <w:rFonts w:ascii="Consolas" w:hAnsi="Consolas"/>
          <w:b w:val="0"/>
          <w:i w:val="0"/>
          <w:sz w:val="19"/>
        </w:rPr>
        <w:t>tax_constants.json</w:t>
      </w:r>
      <w:r>
        <w:rPr>
          <w:b w:val="0"/>
          <w:i w:val="0"/>
        </w:rPr>
        <w:t xml:space="preserve">, and its </w:t>
      </w:r>
      <w:r>
        <w:rPr>
          <w:rFonts w:ascii="Consolas" w:hAnsi="Consolas"/>
          <w:b w:val="0"/>
          <w:i w:val="0"/>
          <w:sz w:val="19"/>
        </w:rPr>
        <w:t>calculate_&lt;province&gt;_tax()</w:t>
      </w:r>
      <w:r>
        <w:rPr>
          <w:b w:val="0"/>
          <w:i w:val="0"/>
        </w:rPr>
        <w:t xml:space="preserve"> and benefit functions to </w:t>
      </w:r>
      <w:r>
        <w:rPr>
          <w:rFonts w:ascii="Consolas" w:hAnsi="Consolas"/>
          <w:b w:val="0"/>
          <w:i w:val="0"/>
          <w:sz w:val="19"/>
        </w:rPr>
        <w:t>tax.py</w:t>
      </w:r>
      <w:r>
        <w:rPr>
          <w:b w:val="0"/>
          <w:i w:val="0"/>
        </w:rPr>
        <w:t>.</w:t>
      </w:r>
    </w:p>
    <w:p/>
    <w:p>
      <w:pPr>
        <w:pStyle w:val="Heading2"/>
      </w:pPr>
      <w:r>
        <w:t>Workflows</w:t>
      </w:r>
    </w:p>
    <w:p>
      <w:r>
        <w:rPr>
          <w:b w:val="0"/>
          <w:i w:val="0"/>
        </w:rPr>
        <w:t>The platform provides multiple workflows sharing common backend calculation engines. Each workflow is described below with its end-to-end data flow.</w:t>
      </w:r>
    </w:p>
    <w:p>
      <w:pPr>
        <w:pStyle w:val="Heading3"/>
      </w:pPr>
      <w:r>
        <w:t>1. Child support calculator — form workflow</w:t>
      </w:r>
    </w:p>
    <w:p>
      <w:pPr>
        <w:pStyle w:val="ListNumber"/>
      </w:pPr>
      <w:r>
        <w:rPr>
          <w:b w:val="0"/>
          <w:i w:val="0"/>
        </w:rPr>
        <w:t xml:space="preserve">User loads the calculator at </w:t>
      </w:r>
      <w:r>
        <w:rPr>
          <w:rFonts w:ascii="Consolas" w:hAnsi="Consolas"/>
          <w:b w:val="0"/>
          <w:i w:val="0"/>
          <w:sz w:val="19"/>
        </w:rPr>
        <w:t>/</w:t>
      </w:r>
      <w:r>
        <w:rPr>
          <w:b w:val="0"/>
          <w:i w:val="0"/>
        </w:rPr>
        <w:t xml:space="preserve"> (Flask serves </w:t>
      </w:r>
      <w:r>
        <w:rPr>
          <w:rFonts w:ascii="Consolas" w:hAnsi="Consolas"/>
          <w:b w:val="0"/>
          <w:i w:val="0"/>
          <w:sz w:val="19"/>
        </w:rPr>
        <w:t>templates/calculator.html</w:t>
      </w:r>
      <w:r>
        <w:rPr>
          <w:b w:val="0"/>
          <w:i w:val="0"/>
        </w:rPr>
        <w:t xml:space="preserve"> with static CSS and JS).</w:t>
      </w:r>
    </w:p>
    <w:p>
      <w:pPr>
        <w:pStyle w:val="ListNumber"/>
      </w:pPr>
      <w:r>
        <w:rPr>
          <w:b w:val="0"/>
          <w:i w:val="0"/>
        </w:rPr>
        <w:t>User enters Party 1 and Party 2 guideline incomes and adds children with custody arrangements via the form UI.</w:t>
      </w:r>
    </w:p>
    <w:p>
      <w:pPr>
        <w:pStyle w:val="ListNumber"/>
      </w:pPr>
      <w:r>
        <w:rPr>
          <w:b w:val="0"/>
          <w:i w:val="0"/>
        </w:rPr>
        <w:t xml:space="preserve">On submit, the browser POSTs JSON to </w:t>
      </w:r>
      <w:r>
        <w:rPr>
          <w:rFonts w:ascii="Consolas" w:hAnsi="Consolas"/>
          <w:b w:val="0"/>
          <w:i w:val="0"/>
          <w:sz w:val="19"/>
        </w:rPr>
        <w:t>/calculate</w:t>
      </w:r>
      <w:r>
        <w:rPr>
          <w:b w:val="0"/>
          <w:i w:val="0"/>
        </w:rPr>
        <w:t>.</w:t>
      </w:r>
    </w:p>
    <w:p>
      <w:pPr>
        <w:pStyle w:val="ListNumber"/>
      </w:pPr>
      <w:r>
        <w:rPr>
          <w:b w:val="0"/>
          <w:i w:val="0"/>
        </w:rPr>
        <w:t xml:space="preserve">Flask calls </w:t>
      </w:r>
      <w:r>
        <w:rPr>
          <w:rFonts w:ascii="Consolas" w:hAnsi="Consolas"/>
          <w:b w:val="0"/>
          <w:i w:val="0"/>
          <w:sz w:val="19"/>
        </w:rPr>
        <w:t>compute_child_counts()</w:t>
      </w:r>
      <w:r>
        <w:rPr>
          <w:b w:val="0"/>
          <w:i w:val="0"/>
        </w:rPr>
        <w:t xml:space="preserve"> to categorize children, then </w:t>
      </w:r>
      <w:r>
        <w:rPr>
          <w:rFonts w:ascii="Consolas" w:hAnsi="Consolas"/>
          <w:b w:val="0"/>
          <w:i w:val="0"/>
          <w:sz w:val="19"/>
        </w:rPr>
        <w:t>determine_type_of_splitting()</w:t>
      </w:r>
      <w:r>
        <w:rPr>
          <w:b w:val="0"/>
          <w:i w:val="0"/>
        </w:rPr>
        <w:t xml:space="preserve"> to classify the scenario as SEPARATED, SHARED, SPLIT, or HYBRID.</w:t>
      </w:r>
    </w:p>
    <w:p>
      <w:pPr>
        <w:pStyle w:val="ListNumber"/>
      </w:pPr>
      <w:r>
        <w:rPr>
          <w:rFonts w:ascii="Consolas" w:hAnsi="Consolas"/>
          <w:b w:val="0"/>
          <w:i w:val="0"/>
          <w:sz w:val="19"/>
        </w:rPr>
        <w:t>calculate_child_support()</w:t>
      </w:r>
      <w:r>
        <w:rPr>
          <w:b w:val="0"/>
          <w:i w:val="0"/>
        </w:rPr>
        <w:t xml:space="preserve"> runs the Schedule I formula against </w:t>
      </w:r>
      <w:hyperlink r:id="rId17">
        <w:r>
          <w:rPr>
            <w:color w:val="0563C1"/>
            <w:u w:val="single"/>
          </w:rPr>
          <w:t>schedule_i.json</w:t>
        </w:r>
      </w:hyperlink>
      <w:r>
        <w:rPr>
          <w:b w:val="0"/>
          <w:i w:val="0"/>
        </w:rPr>
        <w:t xml:space="preserve"> for each party, filtering rows by the party's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w:t>
      </w:r>
    </w:p>
    <w:p>
      <w:pPr>
        <w:pStyle w:val="ListNumber"/>
      </w:pPr>
      <w:r>
        <w:rPr>
          <w:b w:val="0"/>
          <w:i w:val="0"/>
        </w:rPr>
        <w:t>JSON result is returned. The browser renders monthly and annual figures for both parties with a net-payer verdict.</w:t>
      </w:r>
    </w:p>
    <w:p>
      <w:pPr>
        <w:pStyle w:val="ListNumber"/>
      </w:pPr>
      <w:r>
        <w:rPr>
          <w:b w:val="0"/>
          <w:i w:val="0"/>
        </w:rPr>
        <w:t>The backend auto-generates a PDF report via ReportLab containing the input parameters, scenario classification, per-party gross obligations, and final net-payer determination. The PDF is saved to a server-side temporary directory and returned to the browser as both a download URL (</w:t>
      </w:r>
      <w:r>
        <w:rPr>
          <w:rFonts w:ascii="Consolas" w:hAnsi="Consolas"/>
          <w:b w:val="0"/>
          <w:i w:val="0"/>
          <w:sz w:val="19"/>
        </w:rPr>
        <w:t>/download-report/:filename</w:t>
      </w:r>
      <w:r>
        <w:rPr>
          <w:b w:val="0"/>
          <w:i w:val="0"/>
        </w:rPr>
        <w:t>) and a base64-encoded payload.</w:t>
      </w:r>
    </w:p>
    <w:p>
      <w:pPr>
        <w:pStyle w:val="ListNumber"/>
      </w:pPr>
      <w:r>
        <w:rPr>
          <w:b w:val="0"/>
          <w:i w:val="0"/>
        </w:rPr>
        <w:t xml:space="preserve">The frontend displays a </w:t>
      </w:r>
      <w:r>
        <w:rPr>
          <w:b/>
          <w:i w:val="0"/>
        </w:rPr>
        <w:t>Download PDF Report</w:t>
      </w:r>
      <w:r>
        <w:rPr>
          <w:b w:val="0"/>
          <w:i w:val="0"/>
        </w:rPr>
        <w:t xml:space="preserve"> button (using the URL or base64) and a </w:t>
      </w:r>
      <w:r>
        <w:rPr>
          <w:b/>
          <w:i w:val="0"/>
        </w:rPr>
        <w:t>Save to Matter</w:t>
      </w:r>
      <w:r>
        <w:rPr>
          <w:b w:val="0"/>
          <w:i w:val="0"/>
        </w:rPr>
        <w:t xml:space="preserve"> button that persists the calculation result and the PDF attachment to the matter record in the auth-server database, associating the report with the current matter for future retrieval.</w:t>
      </w:r>
    </w:p>
    <w:p>
      <w:pPr>
        <w:pStyle w:val="Heading3"/>
      </w:pPr>
      <w:r>
        <w:t>2. Child support AI chat workflow</w:t>
      </w:r>
    </w:p>
    <w:p>
      <w:pPr>
        <w:pStyle w:val="ListNumber"/>
      </w:pPr>
      <w:r>
        <w:rPr>
          <w:b w:val="0"/>
          <w:i w:val="0"/>
        </w:rPr>
        <w:t>User opens the Child Support chat panel within the matter workflow. The panel auto-loads existing matter data as context.</w:t>
      </w:r>
    </w:p>
    <w:p>
      <w:pPr>
        <w:pStyle w:val="ListNumber"/>
      </w:pPr>
      <w:r>
        <w:rPr>
          <w:b w:val="0"/>
          <w:i w:val="0"/>
        </w:rPr>
        <w:t xml:space="preserve">The </w:t>
      </w:r>
      <w:r>
        <w:rPr>
          <w:rFonts w:ascii="Consolas" w:hAnsi="Consolas"/>
          <w:b w:val="0"/>
          <w:i w:val="0"/>
          <w:sz w:val="19"/>
        </w:rPr>
        <w:t>buildContextMessage</w:t>
      </w:r>
      <w:r>
        <w:rPr>
          <w:b w:val="0"/>
          <w:i w:val="0"/>
        </w:rPr>
        <w:t xml:space="preserve"> function splits matter data into two channels: session metadata (law firm, firm ID, lawyer name, province, matter number, client name) is placed in an </w:t>
      </w:r>
      <w:r>
        <w:rPr>
          <w:rFonts w:ascii="Consolas" w:hAnsi="Consolas"/>
          <w:b w:val="0"/>
          <w:i w:val="0"/>
          <w:sz w:val="19"/>
        </w:rPr>
        <w:t>aiOnly</w:t>
      </w:r>
      <w:r>
        <w:rPr>
          <w:b w:val="0"/>
          <w:i w:val="0"/>
        </w:rPr>
        <w:t xml:space="preserve"> array sent only to the AI, while actual matter data (party names, DOBs, incomes, children, etc.) is placed in a </w:t>
      </w:r>
      <w:r>
        <w:rPr>
          <w:rFonts w:ascii="Consolas" w:hAnsi="Consolas"/>
          <w:b w:val="0"/>
          <w:i w:val="0"/>
          <w:sz w:val="19"/>
        </w:rPr>
        <w:t>display</w:t>
      </w:r>
      <w:r>
        <w:rPr>
          <w:b w:val="0"/>
          <w:i w:val="0"/>
        </w:rPr>
        <w:t xml:space="preserve"> array shown in the chat bubble. (See </w:t>
      </w:r>
      <w:r>
        <w:rPr>
          <w:b w:val="0"/>
          <w:i/>
        </w:rPr>
        <w:t>AI chat panel architecture</w:t>
      </w:r>
      <w:r>
        <w:rPr>
          <w:b w:val="0"/>
          <w:i w:val="0"/>
        </w:rPr>
        <w:t xml:space="preserve"> below for full details.)</w:t>
      </w:r>
    </w:p>
    <w:p>
      <w:pPr>
        <w:pStyle w:val="ListNumber"/>
      </w:pPr>
      <w:r>
        <w:rPr>
          <w:b w:val="0"/>
          <w:i w:val="0"/>
        </w:rPr>
        <w:t xml:space="preserve">When display data exists, it appears as a user bubble. When only session metadata exists (no visible matter data), the display returns </w:t>
      </w:r>
      <w:r>
        <w:rPr>
          <w:rFonts w:ascii="Consolas" w:hAnsi="Consolas"/>
          <w:b w:val="0"/>
          <w:i w:val="0"/>
          <w:sz w:val="19"/>
        </w:rPr>
        <w:t>null</w:t>
      </w:r>
      <w:r>
        <w:rPr>
          <w:b w:val="0"/>
          <w:i w:val="0"/>
        </w:rPr>
        <w:t xml:space="preserve"> and the user bubble is hidden entirely — the AI still receives all data.</w:t>
      </w:r>
    </w:p>
    <w:p>
      <w:pPr>
        <w:pStyle w:val="ListNumber"/>
      </w:pPr>
      <w:r>
        <w:rPr>
          <w:b w:val="0"/>
          <w:i w:val="0"/>
        </w:rPr>
        <w:t>The first message is sent as an automated database snapshot. The AI system prompt instructs Claude to treat it as pre-existing information (not user-typed), so it does not thank the user for providing it.</w:t>
      </w:r>
    </w:p>
    <w:p>
      <w:pPr>
        <w:pStyle w:val="ListNumber"/>
      </w:pPr>
      <w:r>
        <w:rPr>
          <w:b w:val="0"/>
          <w:i w:val="0"/>
        </w:rPr>
        <w:t xml:space="preserve">Browser POSTs the full message history to </w:t>
      </w:r>
      <w:r>
        <w:rPr>
          <w:rFonts w:ascii="Consolas" w:hAnsi="Consolas"/>
          <w:b w:val="0"/>
          <w:i w:val="0"/>
          <w:sz w:val="19"/>
        </w:rPr>
        <w:t>/chat</w:t>
      </w:r>
      <w:r>
        <w:rPr>
          <w:b w:val="0"/>
          <w:i w:val="0"/>
        </w:rPr>
        <w:t xml:space="preserve">. Flask passes messages to Claude claude-sonnet-4-6 via the Anthropic API with a </w:t>
      </w:r>
      <w:r>
        <w:rPr>
          <w:rFonts w:ascii="Consolas" w:hAnsi="Consolas"/>
          <w:b w:val="0"/>
          <w:i w:val="0"/>
          <w:sz w:val="19"/>
        </w:rPr>
        <w:t>calculate_child_support</w:t>
      </w:r>
      <w:r>
        <w:rPr>
          <w:b w:val="0"/>
          <w:i w:val="0"/>
        </w:rPr>
        <w:t xml:space="preserve"> tool definition. The tool schema includes a </w:t>
      </w:r>
      <w:r>
        <w:rPr>
          <w:rFonts w:ascii="Consolas" w:hAnsi="Consolas"/>
          <w:b w:val="0"/>
          <w:i w:val="0"/>
          <w:sz w:val="19"/>
        </w:rPr>
        <w:t>province</w:t>
      </w:r>
      <w:r>
        <w:rPr>
          <w:b w:val="0"/>
          <w:i w:val="0"/>
        </w:rPr>
        <w:t xml:space="preserve"> field with enum </w:t>
      </w:r>
      <w:r>
        <w:rPr>
          <w:rFonts w:ascii="Consolas" w:hAnsi="Consolas"/>
          <w:b w:val="0"/>
          <w:i w:val="0"/>
          <w:sz w:val="19"/>
        </w:rPr>
        <w:t>["ON", "BC"]</w:t>
      </w:r>
      <w:r>
        <w:rPr>
          <w:b w:val="0"/>
          <w:i w:val="0"/>
        </w:rPr>
        <w:t>.</w:t>
      </w:r>
    </w:p>
    <w:p>
      <w:pPr>
        <w:pStyle w:val="ListNumber"/>
      </w:pPr>
      <w:r>
        <w:rPr>
          <w:b w:val="0"/>
          <w:i w:val="0"/>
        </w:rPr>
        <w:t>The AI system prompt requires Claude to ask which province the calculation is for (Ontario or British Columbia) early in the conversation. If the matter data already includes a province, the AI uses that and confirms it. Claude collects any remaining missing details conversationally, then invokes the tool.</w:t>
      </w:r>
    </w:p>
    <w:p>
      <w:pPr>
        <w:pStyle w:val="ListNumber"/>
      </w:pPr>
      <w:r>
        <w:rPr>
          <w:b w:val="0"/>
          <w:i w:val="0"/>
        </w:rPr>
        <w:t xml:space="preserve">Flask intercepts the tool call, runs </w:t>
      </w:r>
      <w:r>
        <w:rPr>
          <w:rFonts w:ascii="Consolas" w:hAnsi="Consolas"/>
          <w:b w:val="0"/>
          <w:i w:val="0"/>
          <w:sz w:val="19"/>
        </w:rPr>
        <w:t>run_calc_tool()</w:t>
      </w:r>
      <w:r>
        <w:rPr>
          <w:b w:val="0"/>
          <w:i w:val="0"/>
        </w:rPr>
        <w:t xml:space="preserve"> which calls the same </w:t>
      </w:r>
      <w:r>
        <w:rPr>
          <w:rFonts w:ascii="Consolas" w:hAnsi="Consolas"/>
          <w:b w:val="0"/>
          <w:i w:val="0"/>
          <w:sz w:val="19"/>
        </w:rPr>
        <w:t>calculate_child_support()</w:t>
      </w:r>
      <w:r>
        <w:rPr>
          <w:b w:val="0"/>
          <w:i w:val="0"/>
        </w:rPr>
        <w:t xml:space="preserve"> engine used by the form, and auto-generates a PDF report.</w:t>
      </w:r>
    </w:p>
    <w:p>
      <w:pPr>
        <w:pStyle w:val="ListNumber"/>
      </w:pPr>
      <w:r>
        <w:rPr>
          <w:b w:val="0"/>
          <w:i w:val="0"/>
        </w:rPr>
        <w:t>The tool result (including a download URL and base64-encoded PDF) is returned to Claude. Claude explains the outcome in plain language and includes the download link.</w:t>
      </w:r>
    </w:p>
    <w:p>
      <w:pPr>
        <w:pStyle w:val="ListNumber"/>
      </w:pPr>
      <w:r>
        <w:rPr>
          <w:b w:val="0"/>
          <w:i w:val="0"/>
        </w:rPr>
        <w:t xml:space="preserve">The frontend displays a </w:t>
      </w:r>
      <w:r>
        <w:rPr>
          <w:b/>
          <w:i w:val="0"/>
        </w:rPr>
        <w:t>Download PDF Report</w:t>
      </w:r>
      <w:r>
        <w:rPr>
          <w:b w:val="0"/>
          <w:i w:val="0"/>
        </w:rPr>
        <w:t xml:space="preserve"> button and a </w:t>
      </w:r>
      <w:r>
        <w:rPr>
          <w:b/>
          <w:i w:val="0"/>
        </w:rPr>
        <w:t>Save to Matter</w:t>
      </w:r>
      <w:r>
        <w:rPr>
          <w:b w:val="0"/>
          <w:i w:val="0"/>
        </w:rPr>
        <w:t xml:space="preserve"> button allowing the user to persist the calculation result to the matter record.</w:t>
      </w:r>
    </w:p>
    <w:p>
      <w:pPr>
        <w:pStyle w:val="Heading3"/>
      </w:pPr>
      <w:r>
        <w:t>3. Spousal support calculator — form workflow</w:t>
      </w:r>
    </w:p>
    <w:p>
      <w:pPr>
        <w:pStyle w:val="ListNumber"/>
      </w:pPr>
      <w:r>
        <w:rPr>
          <w:b w:val="0"/>
          <w:i w:val="0"/>
        </w:rPr>
        <w:t>User submits party incomes, ages, relationship duration, children details, and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xml:space="preserve"> if omitted) to </w:t>
      </w:r>
      <w:r>
        <w:rPr>
          <w:rFonts w:ascii="Consolas" w:hAnsi="Consolas"/>
          <w:b w:val="0"/>
          <w:i w:val="0"/>
          <w:sz w:val="19"/>
        </w:rPr>
        <w:t>/spousal-calculate</w:t>
      </w:r>
      <w:r>
        <w:rPr>
          <w:b w:val="0"/>
          <w:i w:val="0"/>
        </w:rPr>
        <w:t>.</w:t>
      </w:r>
    </w:p>
    <w:p>
      <w:pPr>
        <w:pStyle w:val="ListNumber"/>
      </w:pPr>
      <w:r>
        <w:rPr>
          <w:b w:val="0"/>
          <w:i w:val="0"/>
        </w:rPr>
        <w:t>The backend determines whether to use the without-children formula or the with-children iterative tax-converging formula.</w:t>
      </w:r>
    </w:p>
    <w:p>
      <w:pPr>
        <w:pStyle w:val="ListNumber"/>
      </w:pPr>
      <w:r>
        <w:rPr>
          <w:b/>
          <w:i w:val="0"/>
        </w:rPr>
        <w:t>Without children:</w:t>
      </w:r>
      <w:r>
        <w:rPr>
          <w:b w:val="0"/>
          <w:i w:val="0"/>
        </w:rPr>
        <w:t xml:space="preserve"> applies 1.5% / 1.75% / 2.0% × gross income difference × years of relationship for low/mid/high amounts.</w:t>
      </w:r>
    </w:p>
    <w:p>
      <w:pPr>
        <w:pStyle w:val="ListNumber"/>
      </w:pPr>
      <w:r>
        <w:rPr>
          <w:b/>
          <w:i w:val="0"/>
        </w:rPr>
        <w:t>With children:</w:t>
      </w:r>
      <w:r>
        <w:rPr>
          <w:b w:val="0"/>
          <w:i w:val="0"/>
        </w:rPr>
        <w:t xml:space="preserve"> runs </w:t>
      </w:r>
      <w:r>
        <w:rPr>
          <w:rFonts w:ascii="Consolas" w:hAnsi="Consolas"/>
          <w:b w:val="0"/>
          <w:i w:val="0"/>
          <w:sz w:val="19"/>
        </w:rPr>
        <w:t>calculate_spousal_support_iterative()</w:t>
      </w:r>
      <w:r>
        <w:rPr>
          <w:b w:val="0"/>
          <w:i w:val="0"/>
        </w:rPr>
        <w:t>, which uses damped fixed-point iteration (~6 steps per rate) calling the tax engine on each step so spousal support and taxes converge together. The province is forwarded to the tax engine so BC or Ontario brackets, credits, and benefits are used correctly. Child support amounts are auto-computed from children's details and incomes.</w:t>
      </w:r>
    </w:p>
    <w:p>
      <w:pPr>
        <w:pStyle w:val="ListNumber"/>
      </w:pPr>
      <w:r>
        <w:rPr>
          <w:b w:val="0"/>
          <w:i w:val="0"/>
        </w:rPr>
        <w:t>Returns low/mid/high monthly and annual spousal support amounts, INDI (Individual Net Disposable Income) breakdowns, tax and benefit details for all three scenarios, and duration ranges.</w:t>
      </w:r>
    </w:p>
    <w:p>
      <w:pPr>
        <w:pStyle w:val="ListNumber"/>
      </w:pPr>
      <w:r>
        <w:rPr>
          <w:b w:val="0"/>
          <w:i w:val="0"/>
        </w:rPr>
        <w:t>The backend auto-generates a PDF report via ReportLab containing party details, relationship duration, the formula path used (without-children or with-children iterative), low/mid/high monthly and annual spousal support amounts, INDI breakdowns, tax and benefit line items, and the SSAG duration range.</w:t>
      </w:r>
    </w:p>
    <w:p>
      <w:pPr>
        <w:pStyle w:val="ListNumber"/>
      </w:pPr>
      <w:r>
        <w:rPr>
          <w:b w:val="0"/>
          <w:i w:val="0"/>
        </w:rPr>
        <w:t xml:space="preserve">The frontend displays a </w:t>
      </w:r>
      <w:r>
        <w:rPr>
          <w:b/>
          <w:i w:val="0"/>
        </w:rPr>
        <w:t>Download PDF Report</w:t>
      </w:r>
      <w:r>
        <w:rPr>
          <w:b w:val="0"/>
          <w:i w:val="0"/>
        </w:rPr>
        <w:t xml:space="preserve"> button and a </w:t>
      </w:r>
      <w:r>
        <w:rPr>
          <w:b/>
          <w:i w:val="0"/>
        </w:rPr>
        <w:t>Save to Matter</w:t>
      </w:r>
      <w:r>
        <w:rPr>
          <w:b w:val="0"/>
          <w:i w:val="0"/>
        </w:rPr>
        <w:t xml:space="preserve"> button that persists the calculation result and PDF attachment to the matter record.</w:t>
      </w:r>
    </w:p>
    <w:p>
      <w:pPr>
        <w:pStyle w:val="Heading3"/>
      </w:pPr>
      <w:r>
        <w:t>4. Spousal support AI chat workflow</w:t>
      </w:r>
    </w:p>
    <w:p>
      <w:pPr>
        <w:pStyle w:val="ListNumber"/>
      </w:pPr>
      <w:r>
        <w:rPr>
          <w:b w:val="0"/>
          <w:i w:val="0"/>
        </w:rPr>
        <w:t>User opens the Spousal Support chat panel within the matter workflow. Like the child support panel, it auto-loads matter data with the same display/aiOnly split.</w:t>
      </w:r>
    </w:p>
    <w:p>
      <w:pPr>
        <w:pStyle w:val="ListNumber"/>
      </w:pPr>
      <w:r>
        <w:rPr>
          <w:b w:val="0"/>
          <w:i w:val="0"/>
        </w:rPr>
        <w:t>Session metadata is hidden from the chat bubble; only matter data is shown. If no visible matter data exists, the bubble is hidden entirely.</w:t>
      </w:r>
    </w:p>
    <w:p>
      <w:pPr>
        <w:pStyle w:val="ListNumber"/>
      </w:pPr>
      <w:r>
        <w:rPr>
          <w:b w:val="0"/>
          <w:i w:val="0"/>
        </w:rPr>
        <w:t xml:space="preserve">Browser POSTs to </w:t>
      </w:r>
      <w:r>
        <w:rPr>
          <w:rFonts w:ascii="Consolas" w:hAnsi="Consolas"/>
          <w:b w:val="0"/>
          <w:i w:val="0"/>
          <w:sz w:val="19"/>
        </w:rPr>
        <w:t>/spousal-chat</w:t>
      </w:r>
      <w:r>
        <w:rPr>
          <w:b w:val="0"/>
          <w:i w:val="0"/>
        </w:rPr>
        <w:t>. The AI determines the correct path:</w:t>
      </w:r>
    </w:p>
    <w:p>
      <w:pPr>
        <w:pStyle w:val="ListBullet2"/>
      </w:pPr>
      <w:r>
        <w:rPr>
          <w:b/>
          <w:i w:val="0"/>
        </w:rPr>
        <w:t>Path A</w:t>
      </w:r>
      <w:r>
        <w:rPr>
          <w:b w:val="0"/>
          <w:i w:val="0"/>
        </w:rPr>
        <w:t xml:space="preserve"> (no children or all children 18+): collects gross incomes, years of relationship, and recipient age. Uses the without-children percentage formula. Does not ask about deductions.</w:t>
      </w:r>
    </w:p>
    <w:p>
      <w:pPr>
        <w:pStyle w:val="ListBullet2"/>
      </w:pPr>
      <w:r>
        <w:rPr>
          <w:b/>
          <w:i w:val="0"/>
        </w:rPr>
        <w:t>Path B</w:t>
      </w:r>
      <w:r>
        <w:rPr>
          <w:b w:val="0"/>
          <w:i w:val="0"/>
        </w:rPr>
        <w:t xml:space="preserve"> (minor children present): collects gross incomes, both parties' ages, children's DOBs and custody, and optional deductions (RRSP, child care). Uses the iterative tax-converging formula. Child support amounts are auto-computed.</w:t>
      </w:r>
    </w:p>
    <w:p>
      <w:pPr>
        <w:pStyle w:val="ListNumber"/>
      </w:pPr>
      <w:r>
        <w:rPr>
          <w:b w:val="0"/>
          <w:i w:val="0"/>
        </w:rPr>
        <w:t xml:space="preserve">Flask calls </w:t>
      </w:r>
      <w:r>
        <w:rPr>
          <w:rFonts w:ascii="Consolas" w:hAnsi="Consolas"/>
          <w:b w:val="0"/>
          <w:i w:val="0"/>
          <w:sz w:val="19"/>
        </w:rPr>
        <w:t>run_spousal_calc_tool()</w:t>
      </w:r>
      <w:r>
        <w:rPr>
          <w:b w:val="0"/>
          <w:i w:val="0"/>
        </w:rPr>
        <w:t xml:space="preserve"> which routes to the appropriate formula and auto-generates a PDF report.</w:t>
      </w:r>
    </w:p>
    <w:p>
      <w:pPr>
        <w:pStyle w:val="ListNumber"/>
      </w:pPr>
      <w:r>
        <w:rPr>
          <w:b w:val="0"/>
          <w:i w:val="0"/>
        </w:rPr>
        <w:t>Results include payor/recipient determination, low/mid/high spousal support amounts, INDI breakdowns (for the with-children path), and duration ranges.</w:t>
      </w:r>
    </w:p>
    <w:p>
      <w:pPr>
        <w:pStyle w:val="ListNumber"/>
      </w:pPr>
      <w:r>
        <w:rPr>
          <w:b/>
          <w:i w:val="0"/>
        </w:rPr>
        <w:t>Download PDF Report</w:t>
      </w:r>
      <w:r>
        <w:rPr>
          <w:b w:val="0"/>
          <w:i w:val="0"/>
        </w:rPr>
        <w:t xml:space="preserve"> and </w:t>
      </w:r>
      <w:r>
        <w:rPr>
          <w:b/>
          <w:i w:val="0"/>
        </w:rPr>
        <w:t>Save to Matter</w:t>
      </w:r>
      <w:r>
        <w:rPr>
          <w:b w:val="0"/>
          <w:i w:val="0"/>
        </w:rPr>
        <w:t xml:space="preserve"> buttons are displayed, same as child support.</w:t>
      </w:r>
    </w:p>
    <w:p>
      <w:pPr>
        <w:pStyle w:val="Heading3"/>
      </w:pPr>
      <w:r>
        <w:t>5. Matter intake AI chat workflow</w:t>
      </w:r>
    </w:p>
    <w:p>
      <w:pPr>
        <w:pStyle w:val="ListNumber"/>
      </w:pPr>
      <w:r>
        <w:rPr>
          <w:b w:val="0"/>
          <w:i w:val="0"/>
        </w:rPr>
        <w:t>User opens the intake chat panel. Any existing matter data is loaded as context.</w:t>
      </w:r>
    </w:p>
    <w:p>
      <w:pPr>
        <w:pStyle w:val="ListNumber"/>
      </w:pPr>
      <w:r>
        <w:rPr>
          <w:b w:val="0"/>
          <w:i w:val="0"/>
        </w:rPr>
        <w:t xml:space="preserve">The AI works through ten intake sections in order: Background, Relationship, Children, IncomeAndBenefits, EmploymentDetails, Expenses, Assets, DebtsAndLiabilities, Court, and OtherPersonsInHousehold. It calls </w:t>
      </w:r>
      <w:r>
        <w:rPr>
          <w:rFonts w:ascii="Consolas" w:hAnsi="Consolas"/>
          <w:b w:val="0"/>
          <w:i w:val="0"/>
          <w:sz w:val="19"/>
        </w:rPr>
        <w:t>save_matter_section</w:t>
      </w:r>
      <w:r>
        <w:rPr>
          <w:b w:val="0"/>
          <w:i w:val="0"/>
        </w:rPr>
        <w:t xml:space="preserve"> for each section as data is collected.</w:t>
      </w:r>
    </w:p>
    <w:p>
      <w:pPr>
        <w:pStyle w:val="ListNumber"/>
      </w:pPr>
      <w:r>
        <w:rPr>
          <w:b w:val="0"/>
          <w:i w:val="0"/>
        </w:rPr>
        <w:t>Each save is a PATCH — only new or changed fields are sent, preserving existing values. The endpoint never writes to the database itself; it returns collected sections so the authenticated frontend persists them.</w:t>
      </w:r>
    </w:p>
    <w:p>
      <w:pPr>
        <w:pStyle w:val="ListNumber"/>
      </w:pPr>
      <w:r>
        <w:rPr>
          <w:b w:val="0"/>
          <w:i w:val="0"/>
        </w:rPr>
        <w:t>A stall guard detects when the AI promises to save but does not emit tool calls, and nudges it to actually call the tool.</w:t>
      </w:r>
    </w:p>
    <w:p>
      <w:pPr>
        <w:pStyle w:val="ListNumber"/>
      </w:pPr>
      <w:r>
        <w:rPr>
          <w:b w:val="0"/>
          <w:i w:val="0"/>
        </w:rPr>
        <w:t>When all required sections are complete, the AI sends a final "Intake complete and saved" summary.</w:t>
      </w:r>
    </w:p>
    <w:p>
      <w:pPr>
        <w:pStyle w:val="Heading3"/>
      </w:pPr>
      <w:r>
        <w:t>6. Update information AI chat workflow</w:t>
      </w:r>
    </w:p>
    <w:p>
      <w:pPr>
        <w:pStyle w:val="ListNumber"/>
      </w:pPr>
      <w:r>
        <w:rPr>
          <w:b w:val="0"/>
          <w:i w:val="0"/>
        </w:rPr>
        <w:t xml:space="preserve">Uses the same </w:t>
      </w:r>
      <w:r>
        <w:rPr>
          <w:rFonts w:ascii="Consolas" w:hAnsi="Consolas"/>
          <w:b w:val="0"/>
          <w:i w:val="0"/>
          <w:sz w:val="19"/>
        </w:rPr>
        <w:t>save_matter_section</w:t>
      </w:r>
      <w:r>
        <w:rPr>
          <w:b w:val="0"/>
          <w:i w:val="0"/>
        </w:rPr>
        <w:t xml:space="preserve"> tool as intake but with a different system prompt focused on editing existing values.</w:t>
      </w:r>
    </w:p>
    <w:p>
      <w:pPr>
        <w:pStyle w:val="ListNumber"/>
      </w:pPr>
      <w:r>
        <w:rPr>
          <w:b w:val="0"/>
          <w:i w:val="0"/>
        </w:rPr>
        <w:t>Opens with the current matter snapshot and asks what the user wants to change.</w:t>
      </w:r>
    </w:p>
    <w:p>
      <w:pPr>
        <w:pStyle w:val="ListNumber"/>
      </w:pPr>
      <w:r>
        <w:rPr>
          <w:b w:val="0"/>
          <w:i w:val="0"/>
        </w:rPr>
        <w:t xml:space="preserve">For each change, the AI identifies the matching record, calls </w:t>
      </w:r>
      <w:r>
        <w:rPr>
          <w:rFonts w:ascii="Consolas" w:hAnsi="Consolas"/>
          <w:b w:val="0"/>
          <w:i w:val="0"/>
          <w:sz w:val="19"/>
        </w:rPr>
        <w:t>save_matter_section</w:t>
      </w:r>
      <w:r>
        <w:rPr>
          <w:b w:val="0"/>
          <w:i w:val="0"/>
        </w:rPr>
        <w:t xml:space="preserve"> with a minimal patch, and reports the change as "Updated [field] from [old] to [new]".</w:t>
      </w:r>
    </w:p>
    <w:p>
      <w:pPr>
        <w:pStyle w:val="ListNumber"/>
      </w:pPr>
      <w:r>
        <w:rPr>
          <w:b w:val="0"/>
          <w:i w:val="0"/>
        </w:rPr>
        <w:t>Never runs a fresh intake — stays available for as many individual changes as the user wants.</w:t>
      </w:r>
    </w:p>
    <w:p>
      <w:pPr>
        <w:pStyle w:val="Heading3"/>
      </w:pPr>
      <w:r>
        <w:t>7. Tax calculator AI chat workflow</w:t>
      </w:r>
    </w:p>
    <w:p>
      <w:pPr>
        <w:pStyle w:val="ListNumber"/>
      </w:pPr>
      <w:r>
        <w:rPr>
          <w:b w:val="0"/>
          <w:i w:val="0"/>
        </w:rPr>
        <w:t>The AI collects age, tax year, disability status, income sources (employment, self-employment, other, support received, support paid), deductions (child care, other), and children's details.</w:t>
      </w:r>
    </w:p>
    <w:p>
      <w:pPr>
        <w:pStyle w:val="ListNumber"/>
      </w:pPr>
      <w:r>
        <w:rPr>
          <w:b w:val="0"/>
          <w:i w:val="0"/>
        </w:rPr>
        <w:t xml:space="preserve">It calls the </w:t>
      </w:r>
      <w:r>
        <w:rPr>
          <w:rFonts w:ascii="Consolas" w:hAnsi="Consolas"/>
          <w:b w:val="0"/>
          <w:i w:val="0"/>
          <w:sz w:val="19"/>
        </w:rPr>
        <w:t>calculate_taxes</w:t>
      </w:r>
      <w:r>
        <w:rPr>
          <w:b w:val="0"/>
          <w:i w:val="0"/>
        </w:rPr>
        <w:t xml:space="preserve"> tool which runs the full tax engine. The tool accepts an optional </w:t>
      </w:r>
      <w:r>
        <w:rPr>
          <w:rFonts w:ascii="Consolas" w:hAnsi="Consolas"/>
          <w:b w:val="0"/>
          <w:i w:val="0"/>
          <w:sz w:val="19"/>
        </w:rPr>
        <w:t>province</w:t>
      </w:r>
      <w:r>
        <w:rPr>
          <w:b w:val="0"/>
          <w:i w:val="0"/>
        </w:rPr>
        <w:t xml:space="preserve"> parameter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The engine computes federal/provincial brackets, CPP/EI, and province-specific items: Ontario health premium, surtax, and LIFT credit for ON; BC tax reduction for BC. Benefit programs include CWB, CCB, GST/HST credit, and CAIP (shared), plus Ontario Child Benefit and OSTC (ON) or BC Child Benefit and BC Climate Action Tax Credit (BC).</w:t>
      </w:r>
    </w:p>
    <w:p>
      <w:pPr>
        <w:pStyle w:val="ListNumber"/>
      </w:pPr>
      <w:r>
        <w:rPr>
          <w:b w:val="0"/>
          <w:i w:val="0"/>
        </w:rPr>
        <w:t>Returns a comprehensive breakdown with every line item, displayed as a formatted table.</w:t>
      </w:r>
    </w:p>
    <w:p>
      <w:pPr>
        <w:pStyle w:val="IntenseQuote"/>
      </w:pPr>
      <w:r>
        <w:rPr>
          <w:b/>
          <w:i w:val="0"/>
        </w:rPr>
        <w:t>Current AI prompt limitation.</w:t>
      </w:r>
      <w:r>
        <w:rPr>
          <w:b w:val="0"/>
          <w:i w:val="0"/>
        </w:rPr>
        <w:t xml:space="preserve"> The tax chat system prompt currently instructs Claude to handle "Ontario income tax only" and decline other provinces. The underlying </w:t>
      </w:r>
      <w:r>
        <w:rPr>
          <w:rFonts w:ascii="Consolas" w:hAnsi="Consolas"/>
          <w:b w:val="0"/>
          <w:i w:val="0"/>
          <w:sz w:val="19"/>
        </w:rPr>
        <w:t>calculate_taxes</w:t>
      </w:r>
      <w:r>
        <w:rPr>
          <w:b w:val="0"/>
          <w:i w:val="0"/>
        </w:rPr>
        <w:t xml:space="preserve"> function and </w:t>
      </w:r>
      <w:r>
        <w:rPr>
          <w:rFonts w:ascii="Consolas" w:hAnsi="Consolas"/>
          <w:b w:val="0"/>
          <w:i w:val="0"/>
          <w:sz w:val="19"/>
        </w:rPr>
        <w:t>TaxInput</w:t>
      </w:r>
      <w:r>
        <w:rPr>
          <w:b w:val="0"/>
          <w:i w:val="0"/>
        </w:rPr>
        <w:t xml:space="preserve"> dataclass fully support BC, and the spousal support iterative formula already calls it with </w:t>
      </w:r>
      <w:r>
        <w:rPr>
          <w:rFonts w:ascii="Consolas" w:hAnsi="Consolas"/>
          <w:b w:val="0"/>
          <w:i w:val="0"/>
          <w:sz w:val="19"/>
        </w:rPr>
        <w:t>province="BC"</w:t>
      </w:r>
      <w:r>
        <w:rPr>
          <w:b w:val="0"/>
          <w:i w:val="0"/>
        </w:rPr>
        <w:t xml:space="preserve"> when appropriate. Updating the tax chat system prompt to offer BC as an option is a straightforward change.</w:t>
      </w:r>
    </w:p>
    <w:p/>
    <w:p>
      <w:pPr>
        <w:pStyle w:val="Heading2"/>
      </w:pPr>
      <w:r>
        <w:t>AI chat panel architecture</w:t>
      </w:r>
    </w:p>
    <w:p>
      <w:r>
        <w:rPr>
          <w:b w:val="0"/>
          <w:i w:val="0"/>
        </w:rPr>
        <w:t>Both the Child Support and Spousal Support chat panels (</w:t>
      </w:r>
      <w:hyperlink r:id="rId21">
        <w:r>
          <w:rPr>
            <w:color w:val="0563C1"/>
            <w:u w:val="single"/>
          </w:rPr>
          <w:t>ChildSupportChatPanel.jsx</w:t>
        </w:r>
      </w:hyperlink>
      <w:r>
        <w:rPr>
          <w:b w:val="0"/>
          <w:i w:val="0"/>
        </w:rPr>
        <w:t xml:space="preserve"> and </w:t>
      </w:r>
      <w:hyperlink r:id="rId22">
        <w:r>
          <w:rPr>
            <w:color w:val="0563C1"/>
            <w:u w:val="single"/>
          </w:rPr>
          <w:t>SpousalSupportChatPanel.jsx</w:t>
        </w:r>
      </w:hyperlink>
      <w:r>
        <w:rPr>
          <w:b w:val="0"/>
          <w:i w:val="0"/>
        </w:rPr>
        <w:t>) share a common architecture for handling matter context. The intake and update panels follow the same pattern.</w:t>
      </w:r>
    </w:p>
    <w:p>
      <w:pPr>
        <w:pStyle w:val="Heading3"/>
      </w:pPr>
      <w:r>
        <w:t>Context message construction (buildContextMessage)</w:t>
      </w:r>
    </w:p>
    <w:p>
      <w:r>
        <w:rPr>
          <w:b w:val="0"/>
          <w:i w:val="0"/>
        </w:rPr>
        <w:t xml:space="preserve">The </w:t>
      </w:r>
      <w:r>
        <w:rPr>
          <w:rFonts w:ascii="Consolas" w:hAnsi="Consolas"/>
          <w:b w:val="0"/>
          <w:i w:val="0"/>
          <w:sz w:val="19"/>
        </w:rPr>
        <w:t>buildContextMessage</w:t>
      </w:r>
      <w:r>
        <w:rPr>
          <w:b w:val="0"/>
          <w:i w:val="0"/>
        </w:rPr>
        <w:t xml:space="preserve"> function returns an object with two properties: </w:t>
      </w:r>
      <w:r>
        <w:rPr>
          <w:rFonts w:ascii="Consolas" w:hAnsi="Consolas"/>
          <w:b w:val="0"/>
          <w:i w:val="0"/>
          <w:sz w:val="19"/>
        </w:rPr>
        <w:t>display</w:t>
      </w:r>
      <w:r>
        <w:rPr>
          <w:b w:val="0"/>
          <w:i w:val="0"/>
        </w:rPr>
        <w:t xml:space="preserve"> (what the user sees in the chat bubble) and </w:t>
      </w:r>
      <w:r>
        <w:rPr>
          <w:rFonts w:ascii="Consolas" w:hAnsi="Consolas"/>
          <w:b w:val="0"/>
          <w:i w:val="0"/>
          <w:sz w:val="19"/>
        </w:rPr>
        <w:t>ai</w:t>
      </w:r>
      <w:r>
        <w:rPr>
          <w:b w:val="0"/>
          <w:i w:val="0"/>
        </w:rPr>
        <w:t xml:space="preserve"> (what is sent to the AI). This separation ensures the AI has full context while the user interface remains clean.</w:t>
      </w:r>
    </w:p>
    <w:p>
      <w:r>
        <w:rPr>
          <w:b/>
          <w:i w:val="0"/>
        </w:rPr>
        <w:t>Session metadata</w:t>
      </w:r>
      <w:r>
        <w:rPr>
          <w:b w:val="0"/>
          <w:i w:val="0"/>
        </w:rPr>
        <w:t xml:space="preserve"> — law firm name, firm ID, lawyer/user name, province, matter number, and client name — is placed in an </w:t>
      </w:r>
      <w:r>
        <w:rPr>
          <w:rFonts w:ascii="Consolas" w:hAnsi="Consolas"/>
          <w:b w:val="0"/>
          <w:i w:val="0"/>
          <w:sz w:val="19"/>
        </w:rPr>
        <w:t>aiOnly</w:t>
      </w:r>
      <w:r>
        <w:rPr>
          <w:b w:val="0"/>
          <w:i w:val="0"/>
        </w:rPr>
        <w:t xml:space="preserve"> array. This data is included in the </w:t>
      </w:r>
      <w:r>
        <w:rPr>
          <w:rFonts w:ascii="Consolas" w:hAnsi="Consolas"/>
          <w:b w:val="0"/>
          <w:i w:val="0"/>
          <w:sz w:val="19"/>
        </w:rPr>
        <w:t>ai</w:t>
      </w:r>
      <w:r>
        <w:rPr>
          <w:b w:val="0"/>
          <w:i w:val="0"/>
        </w:rPr>
        <w:t xml:space="preserve"> text sent to Claude but excluded from the </w:t>
      </w:r>
      <w:r>
        <w:rPr>
          <w:rFonts w:ascii="Consolas" w:hAnsi="Consolas"/>
          <w:b w:val="0"/>
          <w:i w:val="0"/>
          <w:sz w:val="19"/>
        </w:rPr>
        <w:t>display</w:t>
      </w:r>
      <w:r>
        <w:rPr>
          <w:b w:val="0"/>
          <w:i w:val="0"/>
        </w:rPr>
        <w:t xml:space="preserve"> text shown in the chat bubble.</w:t>
      </w:r>
    </w:p>
    <w:p>
      <w:r>
        <w:rPr>
          <w:b/>
          <w:i w:val="0"/>
        </w:rPr>
        <w:t>Matter data</w:t>
      </w:r>
      <w:r>
        <w:rPr>
          <w:b w:val="0"/>
          <w:i w:val="0"/>
        </w:rPr>
        <w:t xml:space="preserve"> — party names, dates of birth, addresses, relationship details, children, incomes, expenses, assets, debts, and court information — is formatted via the </w:t>
      </w:r>
      <w:r>
        <w:rPr>
          <w:rFonts w:ascii="Consolas" w:hAnsi="Consolas"/>
          <w:b w:val="0"/>
          <w:i w:val="0"/>
          <w:sz w:val="19"/>
        </w:rPr>
        <w:t>formatSections</w:t>
      </w:r>
      <w:r>
        <w:rPr>
          <w:b w:val="0"/>
          <w:i w:val="0"/>
        </w:rPr>
        <w:t xml:space="preserve"> function and included in both </w:t>
      </w:r>
      <w:r>
        <w:rPr>
          <w:rFonts w:ascii="Consolas" w:hAnsi="Consolas"/>
          <w:b w:val="0"/>
          <w:i w:val="0"/>
          <w:sz w:val="19"/>
        </w:rPr>
        <w:t>display</w:t>
      </w:r>
      <w:r>
        <w:rPr>
          <w:b w:val="0"/>
          <w:i w:val="0"/>
        </w:rPr>
        <w:t xml:space="preserve"> and </w:t>
      </w:r>
      <w:r>
        <w:rPr>
          <w:rFonts w:ascii="Consolas" w:hAnsi="Consolas"/>
          <w:b w:val="0"/>
          <w:i w:val="0"/>
          <w:sz w:val="19"/>
        </w:rPr>
        <w:t>ai</w:t>
      </w:r>
      <w:r>
        <w:rPr>
          <w:b w:val="0"/>
          <w:i w:val="0"/>
        </w:rPr>
        <w:t>.</w:t>
      </w:r>
    </w:p>
    <w:p>
      <w:r>
        <w:rPr>
          <w:b w:val="0"/>
          <w:i w:val="0"/>
        </w:rPr>
        <w:t xml:space="preserve">When there is no visible matter data (only session metadata), </w:t>
      </w:r>
      <w:r>
        <w:rPr>
          <w:rFonts w:ascii="Consolas" w:hAnsi="Consolas"/>
          <w:b w:val="0"/>
          <w:i w:val="0"/>
          <w:sz w:val="19"/>
        </w:rPr>
        <w:t>display</w:t>
      </w:r>
      <w:r>
        <w:rPr>
          <w:b w:val="0"/>
          <w:i w:val="0"/>
        </w:rPr>
        <w:t xml:space="preserve"> returns </w:t>
      </w:r>
      <w:r>
        <w:rPr>
          <w:rFonts w:ascii="Consolas" w:hAnsi="Consolas"/>
          <w:b w:val="0"/>
          <w:i w:val="0"/>
          <w:sz w:val="19"/>
        </w:rPr>
        <w:t>null</w:t>
      </w:r>
      <w:r>
        <w:rPr>
          <w:b w:val="0"/>
          <w:i w:val="0"/>
        </w:rPr>
        <w:t xml:space="preserve">. The send function checks for </w:t>
      </w:r>
      <w:r>
        <w:rPr>
          <w:rFonts w:ascii="Consolas" w:hAnsi="Consolas"/>
          <w:b w:val="0"/>
          <w:i w:val="0"/>
          <w:sz w:val="19"/>
        </w:rPr>
        <w:t>displayText === null</w:t>
      </w:r>
      <w:r>
        <w:rPr>
          <w:b w:val="0"/>
          <w:i w:val="0"/>
        </w:rPr>
        <w:t xml:space="preserve"> and hides the user bubble entirely, preventing an empty or metadata-only bubble from appearing. The AI still receives all information it needs via the </w:t>
      </w:r>
      <w:r>
        <w:rPr>
          <w:rFonts w:ascii="Consolas" w:hAnsi="Consolas"/>
          <w:b w:val="0"/>
          <w:i w:val="0"/>
          <w:sz w:val="19"/>
        </w:rPr>
        <w:t>ai</w:t>
      </w:r>
      <w:r>
        <w:rPr>
          <w:b w:val="0"/>
          <w:i w:val="0"/>
        </w:rPr>
        <w:t xml:space="preserve"> text.</w:t>
      </w:r>
    </w:p>
    <w:p>
      <w:pPr>
        <w:pStyle w:val="Heading3"/>
      </w:pPr>
      <w:r>
        <w:t>The send function</w:t>
      </w:r>
    </w:p>
    <w:p>
      <w:r>
        <w:rPr>
          <w:rFonts w:ascii="Consolas" w:hAnsi="Consolas"/>
          <w:b w:val="0"/>
          <w:i w:val="0"/>
          <w:sz w:val="19"/>
        </w:rPr>
        <w:t>send(text, displayText)</w:t>
      </w:r>
      <w:r>
        <w:rPr>
          <w:b w:val="0"/>
          <w:i w:val="0"/>
        </w:rPr>
        <w:t xml:space="preserve"> accepts two parameters: </w:t>
      </w:r>
      <w:r>
        <w:rPr>
          <w:rFonts w:ascii="Consolas" w:hAnsi="Consolas"/>
          <w:b w:val="0"/>
          <w:i w:val="0"/>
          <w:sz w:val="19"/>
        </w:rPr>
        <w:t>text</w:t>
      </w:r>
      <w:r>
        <w:rPr>
          <w:b w:val="0"/>
          <w:i w:val="0"/>
        </w:rPr>
        <w:t xml:space="preserve"> (sent to the AI) and </w:t>
      </w:r>
      <w:r>
        <w:rPr>
          <w:rFonts w:ascii="Consolas" w:hAnsi="Consolas"/>
          <w:b w:val="0"/>
          <w:i w:val="0"/>
          <w:sz w:val="19"/>
        </w:rPr>
        <w:t>displayText</w:t>
      </w:r>
      <w:r>
        <w:rPr>
          <w:b w:val="0"/>
          <w:i w:val="0"/>
        </w:rPr>
        <w:t xml:space="preserve"> (shown in the chat bubble).</w:t>
      </w:r>
    </w:p>
    <w:p>
      <w:pPr>
        <w:pStyle w:val="ListBullet"/>
      </w:pPr>
      <w:r>
        <w:rPr>
          <w:b w:val="0"/>
          <w:i w:val="0"/>
        </w:rPr>
        <w:t xml:space="preserve">When </w:t>
      </w:r>
      <w:r>
        <w:rPr>
          <w:rFonts w:ascii="Consolas" w:hAnsi="Consolas"/>
          <w:b w:val="0"/>
          <w:i w:val="0"/>
          <w:sz w:val="19"/>
        </w:rPr>
        <w:t>displayText</w:t>
      </w:r>
      <w:r>
        <w:rPr>
          <w:b w:val="0"/>
          <w:i w:val="0"/>
        </w:rPr>
        <w:t xml:space="preserve"> is explicitly </w:t>
      </w:r>
      <w:r>
        <w:rPr>
          <w:rFonts w:ascii="Consolas" w:hAnsi="Consolas"/>
          <w:b w:val="0"/>
          <w:i w:val="0"/>
          <w:sz w:val="19"/>
        </w:rPr>
        <w:t>null</w:t>
      </w:r>
      <w:r>
        <w:rPr>
          <w:b w:val="0"/>
          <w:i w:val="0"/>
        </w:rPr>
        <w:t xml:space="preserve">, the </w:t>
      </w:r>
      <w:r>
        <w:rPr>
          <w:rFonts w:ascii="Consolas" w:hAnsi="Consolas"/>
          <w:b w:val="0"/>
          <w:i w:val="0"/>
          <w:sz w:val="19"/>
        </w:rPr>
        <w:t>const hideUserBubble = displayText === null</w:t>
      </w:r>
      <w:r>
        <w:rPr>
          <w:b w:val="0"/>
          <w:i w:val="0"/>
        </w:rPr>
        <w:t xml:space="preserve"> check triggers and no user bubble is rendered.</w:t>
      </w:r>
    </w:p>
    <w:p>
      <w:pPr>
        <w:pStyle w:val="ListBullet"/>
      </w:pPr>
      <w:r>
        <w:rPr>
          <w:b w:val="0"/>
          <w:i w:val="0"/>
        </w:rPr>
        <w:t xml:space="preserve">When </w:t>
      </w:r>
      <w:r>
        <w:rPr>
          <w:rFonts w:ascii="Consolas" w:hAnsi="Consolas"/>
          <w:b w:val="0"/>
          <w:i w:val="0"/>
          <w:sz w:val="19"/>
        </w:rPr>
        <w:t>displayText</w:t>
      </w:r>
      <w:r>
        <w:rPr>
          <w:b w:val="0"/>
          <w:i w:val="0"/>
        </w:rPr>
        <w:t xml:space="preserve"> is a string, it is shown as the bubble content.</w:t>
      </w:r>
    </w:p>
    <w:p>
      <w:pPr>
        <w:pStyle w:val="ListBullet"/>
      </w:pPr>
      <w:r>
        <w:rPr>
          <w:b w:val="0"/>
          <w:i w:val="0"/>
        </w:rPr>
        <w:t xml:space="preserve">When </w:t>
      </w:r>
      <w:r>
        <w:rPr>
          <w:rFonts w:ascii="Consolas" w:hAnsi="Consolas"/>
          <w:b w:val="0"/>
          <w:i w:val="0"/>
          <w:sz w:val="19"/>
        </w:rPr>
        <w:t>displayText</w:t>
      </w:r>
      <w:r>
        <w:rPr>
          <w:b w:val="0"/>
          <w:i w:val="0"/>
        </w:rPr>
        <w:t xml:space="preserve"> is </w:t>
      </w:r>
      <w:r>
        <w:rPr>
          <w:rFonts w:ascii="Consolas" w:hAnsi="Consolas"/>
          <w:b w:val="0"/>
          <w:i w:val="0"/>
          <w:sz w:val="19"/>
        </w:rPr>
        <w:t>undefined</w:t>
      </w:r>
      <w:r>
        <w:rPr>
          <w:b w:val="0"/>
          <w:i w:val="0"/>
        </w:rPr>
        <w:t xml:space="preserve"> (normal user messages), the user's typed text is shown.</w:t>
      </w:r>
    </w:p>
    <w:p>
      <w:pPr>
        <w:pStyle w:val="Heading3"/>
      </w:pPr>
      <w:r>
        <w:t>Auto-context on mount</w:t>
      </w:r>
    </w:p>
    <w:p>
      <w:r>
        <w:rPr>
          <w:b w:val="0"/>
          <w:i w:val="0"/>
        </w:rPr>
        <w:t xml:space="preserve">Both panels auto-send context on mount via a </w:t>
      </w:r>
      <w:r>
        <w:rPr>
          <w:rFonts w:ascii="Consolas" w:hAnsi="Consolas"/>
          <w:b w:val="0"/>
          <w:i w:val="0"/>
          <w:sz w:val="19"/>
        </w:rPr>
        <w:t>useEffect</w:t>
      </w:r>
      <w:r>
        <w:rPr>
          <w:b w:val="0"/>
          <w:i w:val="0"/>
        </w:rPr>
        <w:t xml:space="preserve"> hook. When </w:t>
      </w:r>
      <w:r>
        <w:rPr>
          <w:rFonts w:ascii="Consolas" w:hAnsi="Consolas"/>
          <w:b w:val="0"/>
          <w:i w:val="0"/>
          <w:sz w:val="19"/>
        </w:rPr>
        <w:t>matterData</w:t>
      </w:r>
      <w:r>
        <w:rPr>
          <w:b w:val="0"/>
          <w:i w:val="0"/>
        </w:rPr>
        <w:t xml:space="preserve"> is present and context has not been sent, </w:t>
      </w:r>
      <w:r>
        <w:rPr>
          <w:rFonts w:ascii="Consolas" w:hAnsi="Consolas"/>
          <w:b w:val="0"/>
          <w:i w:val="0"/>
          <w:sz w:val="19"/>
        </w:rPr>
        <w:t>buildContextMessage</w:t>
      </w:r>
      <w:r>
        <w:rPr>
          <w:b w:val="0"/>
          <w:i w:val="0"/>
        </w:rPr>
        <w:t xml:space="preserve"> is called and the result is passed to </w:t>
      </w:r>
      <w:r>
        <w:rPr>
          <w:rFonts w:ascii="Consolas" w:hAnsi="Consolas"/>
          <w:b w:val="0"/>
          <w:i w:val="0"/>
          <w:sz w:val="19"/>
        </w:rPr>
        <w:t>send(ctx.ai, ctx.display)</w:t>
      </w:r>
      <w:r>
        <w:rPr>
          <w:b w:val="0"/>
          <w:i w:val="0"/>
        </w:rPr>
        <w:t>. This means the AI receives the full matter snapshot immediately when the panel opens, and the user sees only the relevant matter data (or nothing if there is only session metadata).</w:t>
      </w:r>
    </w:p>
    <w:p/>
    <w:p>
      <w:pPr>
        <w:pStyle w:val="Heading2"/>
      </w:pPr>
      <w:r>
        <w:t>API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Description</w:t>
            </w:r>
          </w:p>
        </w:tc>
      </w:tr>
      <w:tr>
        <w:tc>
          <w:tcPr>
            <w:tcW w:type="dxa" w:w="2880"/>
          </w:tcPr>
          <w:p>
            <w:r>
              <w:rPr>
                <w:rFonts w:ascii="Consolas" w:hAnsi="Consolas"/>
                <w:b w:val="0"/>
                <w:i w:val="0"/>
                <w:sz w:val="19"/>
              </w:rPr>
              <w:t>/calculate</w:t>
            </w:r>
          </w:p>
        </w:tc>
        <w:tc>
          <w:tcPr>
            <w:tcW w:type="dxa" w:w="2880"/>
          </w:tcPr>
          <w:p>
            <w:r>
              <w:rPr>
                <w:b w:val="0"/>
                <w:i w:val="0"/>
              </w:rPr>
              <w:t>POST</w:t>
            </w:r>
          </w:p>
        </w:tc>
        <w:tc>
          <w:tcPr>
            <w:tcW w:type="dxa" w:w="2880"/>
          </w:tcPr>
          <w:p>
            <w:r>
              <w:rPr>
                <w:b w:val="0"/>
                <w:i w:val="0"/>
              </w:rPr>
              <w:t>Form-based child support calculation. Accepts party incomes, children array, and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Returns scenario type, monthly/annual amounts, and net payer.</w:t>
            </w:r>
          </w:p>
        </w:tc>
      </w:tr>
      <w:tr>
        <w:tc>
          <w:tcPr>
            <w:tcW w:type="dxa" w:w="2880"/>
          </w:tcPr>
          <w:p>
            <w:r>
              <w:rPr>
                <w:rFonts w:ascii="Consolas" w:hAnsi="Consolas"/>
                <w:b w:val="0"/>
                <w:i w:val="0"/>
                <w:sz w:val="19"/>
              </w:rPr>
              <w:t>/chat</w:t>
            </w:r>
          </w:p>
        </w:tc>
        <w:tc>
          <w:tcPr>
            <w:tcW w:type="dxa" w:w="2880"/>
          </w:tcPr>
          <w:p>
            <w:r>
              <w:rPr>
                <w:b w:val="0"/>
                <w:i w:val="0"/>
              </w:rPr>
              <w:t>POST</w:t>
            </w:r>
          </w:p>
        </w:tc>
        <w:tc>
          <w:tcPr>
            <w:tcW w:type="dxa" w:w="2880"/>
          </w:tcPr>
          <w:p>
            <w:r>
              <w:rPr>
                <w:b w:val="0"/>
                <w:i w:val="0"/>
              </w:rPr>
              <w:t xml:space="preserve">Child support AI chat. Message-loop with Claude using </w:t>
            </w:r>
            <w:r>
              <w:rPr>
                <w:rFonts w:ascii="Consolas" w:hAnsi="Consolas"/>
                <w:b w:val="0"/>
                <w:i w:val="0"/>
                <w:sz w:val="19"/>
              </w:rPr>
              <w:t>calculate_child_support</w:t>
            </w:r>
            <w:r>
              <w:rPr>
                <w:b w:val="0"/>
                <w:i w:val="0"/>
              </w:rPr>
              <w:t xml:space="preserve"> tool (province-aware, ON/BC). Auto-generates PDF report. Returns calculation result for frontend persistence.</w:t>
            </w:r>
          </w:p>
        </w:tc>
      </w:tr>
      <w:tr>
        <w:tc>
          <w:tcPr>
            <w:tcW w:type="dxa" w:w="2880"/>
          </w:tcPr>
          <w:p>
            <w:r>
              <w:rPr>
                <w:rFonts w:ascii="Consolas" w:hAnsi="Consolas"/>
                <w:b w:val="0"/>
                <w:i w:val="0"/>
                <w:sz w:val="19"/>
              </w:rPr>
              <w:t>/spousal-calculate</w:t>
            </w:r>
          </w:p>
        </w:tc>
        <w:tc>
          <w:tcPr>
            <w:tcW w:type="dxa" w:w="2880"/>
          </w:tcPr>
          <w:p>
            <w:r>
              <w:rPr>
                <w:b w:val="0"/>
                <w:i w:val="0"/>
              </w:rPr>
              <w:t>POST</w:t>
            </w:r>
          </w:p>
        </w:tc>
        <w:tc>
          <w:tcPr>
            <w:tcW w:type="dxa" w:w="2880"/>
          </w:tcPr>
          <w:p>
            <w:r>
              <w:rPr>
                <w:b w:val="0"/>
                <w:i w:val="0"/>
              </w:rPr>
              <w:t>Form-based spousal support calculation. Accepts province (</w:t>
            </w:r>
            <w:r>
              <w:rPr>
                <w:rFonts w:ascii="Consolas" w:hAnsi="Consolas"/>
                <w:b w:val="0"/>
                <w:i w:val="0"/>
                <w:sz w:val="19"/>
              </w:rPr>
              <w:t>"ON"</w:t>
            </w:r>
            <w:r>
              <w:rPr>
                <w:b w:val="0"/>
                <w:i w:val="0"/>
              </w:rPr>
              <w:t xml:space="preserve"> or </w:t>
            </w:r>
            <w:r>
              <w:rPr>
                <w:rFonts w:ascii="Consolas" w:hAnsi="Consolas"/>
                <w:b w:val="0"/>
                <w:i w:val="0"/>
                <w:sz w:val="19"/>
              </w:rPr>
              <w:t>"BC"</w:t>
            </w:r>
            <w:r>
              <w:rPr>
                <w:b w:val="0"/>
                <w:i w:val="0"/>
              </w:rPr>
              <w:t xml:space="preserve">, defaults to </w:t>
            </w:r>
            <w:r>
              <w:rPr>
                <w:rFonts w:ascii="Consolas" w:hAnsi="Consolas"/>
                <w:b w:val="0"/>
                <w:i w:val="0"/>
                <w:sz w:val="19"/>
              </w:rPr>
              <w:t>"ON"</w:t>
            </w:r>
            <w:r>
              <w:rPr>
                <w:b w:val="0"/>
                <w:i w:val="0"/>
              </w:rPr>
              <w:t>). Routes to no-children formula or iterative with-children engine. Returns low/mid/high amounts, INDI, taxes, benefits, and duration.</w:t>
            </w:r>
          </w:p>
        </w:tc>
      </w:tr>
      <w:tr>
        <w:tc>
          <w:tcPr>
            <w:tcW w:type="dxa" w:w="2880"/>
          </w:tcPr>
          <w:p>
            <w:r>
              <w:rPr>
                <w:rFonts w:ascii="Consolas" w:hAnsi="Consolas"/>
                <w:b w:val="0"/>
                <w:i w:val="0"/>
                <w:sz w:val="19"/>
              </w:rPr>
              <w:t>/spousal-chat</w:t>
            </w:r>
          </w:p>
        </w:tc>
        <w:tc>
          <w:tcPr>
            <w:tcW w:type="dxa" w:w="2880"/>
          </w:tcPr>
          <w:p>
            <w:r>
              <w:rPr>
                <w:b w:val="0"/>
                <w:i w:val="0"/>
              </w:rPr>
              <w:t>POST</w:t>
            </w:r>
          </w:p>
        </w:tc>
        <w:tc>
          <w:tcPr>
            <w:tcW w:type="dxa" w:w="2880"/>
          </w:tcPr>
          <w:p>
            <w:r>
              <w:rPr>
                <w:b w:val="0"/>
                <w:i w:val="0"/>
              </w:rPr>
              <w:t xml:space="preserve">Spousal support AI chat. Message-loop with Claude using </w:t>
            </w:r>
            <w:r>
              <w:rPr>
                <w:rFonts w:ascii="Consolas" w:hAnsi="Consolas"/>
                <w:b w:val="0"/>
                <w:i w:val="0"/>
                <w:sz w:val="19"/>
              </w:rPr>
              <w:t>calculate_spousal_support</w:t>
            </w:r>
            <w:r>
              <w:rPr>
                <w:b w:val="0"/>
                <w:i w:val="0"/>
              </w:rPr>
              <w:t xml:space="preserve"> tool. Province-aware. Two paths: without-children (gross % formula) and with-children (iterative tax-converging). Auto-generates PDF.</w:t>
            </w:r>
          </w:p>
        </w:tc>
      </w:tr>
      <w:tr>
        <w:tc>
          <w:tcPr>
            <w:tcW w:type="dxa" w:w="2880"/>
          </w:tcPr>
          <w:p>
            <w:r>
              <w:rPr>
                <w:rFonts w:ascii="Consolas" w:hAnsi="Consolas"/>
                <w:b w:val="0"/>
                <w:i w:val="0"/>
                <w:sz w:val="19"/>
              </w:rPr>
              <w:t>/intake-chat</w:t>
            </w:r>
          </w:p>
        </w:tc>
        <w:tc>
          <w:tcPr>
            <w:tcW w:type="dxa" w:w="2880"/>
          </w:tcPr>
          <w:p>
            <w:r>
              <w:rPr>
                <w:b w:val="0"/>
                <w:i w:val="0"/>
              </w:rPr>
              <w:t>POST</w:t>
            </w:r>
          </w:p>
        </w:tc>
        <w:tc>
          <w:tcPr>
            <w:tcW w:type="dxa" w:w="2880"/>
          </w:tcPr>
          <w:p>
            <w:r>
              <w:rPr>
                <w:b w:val="0"/>
                <w:i w:val="0"/>
              </w:rPr>
              <w:t xml:space="preserve">Matter intake AI agent. Collects ten sections of family-law intake data via </w:t>
            </w:r>
            <w:r>
              <w:rPr>
                <w:rFonts w:ascii="Consolas" w:hAnsi="Consolas"/>
                <w:b w:val="0"/>
                <w:i w:val="0"/>
                <w:sz w:val="19"/>
              </w:rPr>
              <w:t>save_matter_section</w:t>
            </w:r>
            <w:r>
              <w:rPr>
                <w:b w:val="0"/>
                <w:i w:val="0"/>
              </w:rPr>
              <w:t xml:space="preserve"> tool. Returns collected sections for frontend persistence. Includes stall guard.</w:t>
            </w:r>
          </w:p>
        </w:tc>
      </w:tr>
      <w:tr>
        <w:tc>
          <w:tcPr>
            <w:tcW w:type="dxa" w:w="2880"/>
          </w:tcPr>
          <w:p>
            <w:r>
              <w:rPr>
                <w:rFonts w:ascii="Consolas" w:hAnsi="Consolas"/>
                <w:b w:val="0"/>
                <w:i w:val="0"/>
                <w:sz w:val="19"/>
              </w:rPr>
              <w:t>/update-chat</w:t>
            </w:r>
          </w:p>
        </w:tc>
        <w:tc>
          <w:tcPr>
            <w:tcW w:type="dxa" w:w="2880"/>
          </w:tcPr>
          <w:p>
            <w:r>
              <w:rPr>
                <w:b w:val="0"/>
                <w:i w:val="0"/>
              </w:rPr>
              <w:t>POST</w:t>
            </w:r>
          </w:p>
        </w:tc>
        <w:tc>
          <w:tcPr>
            <w:tcW w:type="dxa" w:w="2880"/>
          </w:tcPr>
          <w:p>
            <w:r>
              <w:rPr>
                <w:b w:val="0"/>
                <w:i w:val="0"/>
              </w:rPr>
              <w:t>Update information AI agent. Same tool as intake but for editing existing values. Returns patches for frontend persistence.</w:t>
            </w:r>
          </w:p>
        </w:tc>
      </w:tr>
      <w:tr>
        <w:tc>
          <w:tcPr>
            <w:tcW w:type="dxa" w:w="2880"/>
          </w:tcPr>
          <w:p>
            <w:r>
              <w:rPr>
                <w:rFonts w:ascii="Consolas" w:hAnsi="Consolas"/>
                <w:b w:val="0"/>
                <w:i w:val="0"/>
                <w:sz w:val="19"/>
              </w:rPr>
              <w:t>/tax-chat</w:t>
            </w:r>
          </w:p>
        </w:tc>
        <w:tc>
          <w:tcPr>
            <w:tcW w:type="dxa" w:w="2880"/>
          </w:tcPr>
          <w:p>
            <w:r>
              <w:rPr>
                <w:b w:val="0"/>
                <w:i w:val="0"/>
              </w:rPr>
              <w:t>POST</w:t>
            </w:r>
          </w:p>
        </w:tc>
        <w:tc>
          <w:tcPr>
            <w:tcW w:type="dxa" w:w="2880"/>
          </w:tcPr>
          <w:p>
            <w:r>
              <w:rPr>
                <w:b w:val="0"/>
                <w:i w:val="0"/>
              </w:rPr>
              <w:t>Tax calculator AI chat. Collects income/deduction/children data and runs the full tax engine (ON/BC supported by engine; AI prompt currently scoped to ON). Returns comprehensive breakdown.</w:t>
            </w:r>
          </w:p>
        </w:tc>
      </w:tr>
      <w:tr>
        <w:tc>
          <w:tcPr>
            <w:tcW w:type="dxa" w:w="2880"/>
          </w:tcPr>
          <w:p>
            <w:r>
              <w:rPr>
                <w:rFonts w:ascii="Consolas" w:hAnsi="Consolas"/>
                <w:b w:val="0"/>
                <w:i w:val="0"/>
                <w:sz w:val="19"/>
              </w:rPr>
              <w:t>/t1-extract</w:t>
            </w:r>
          </w:p>
        </w:tc>
        <w:tc>
          <w:tcPr>
            <w:tcW w:type="dxa" w:w="2880"/>
          </w:tcPr>
          <w:p>
            <w:r>
              <w:rPr>
                <w:b w:val="0"/>
                <w:i w:val="0"/>
              </w:rPr>
              <w:t>POST</w:t>
            </w:r>
          </w:p>
        </w:tc>
        <w:tc>
          <w:tcPr>
            <w:tcW w:type="dxa" w:w="2880"/>
          </w:tcPr>
          <w:p>
            <w:r>
              <w:rPr>
                <w:b w:val="0"/>
                <w:i w:val="0"/>
              </w:rPr>
              <w:t>T1 tax return extraction. Parses uploaded tax returns; explicitly never extracts SINs.</w:t>
            </w:r>
          </w:p>
        </w:tc>
      </w:tr>
      <w:tr>
        <w:tc>
          <w:tcPr>
            <w:tcW w:type="dxa" w:w="2880"/>
          </w:tcPr>
          <w:p>
            <w:r>
              <w:rPr>
                <w:rFonts w:ascii="Consolas" w:hAnsi="Consolas"/>
                <w:b w:val="0"/>
                <w:i w:val="0"/>
                <w:sz w:val="19"/>
              </w:rPr>
              <w:t>/download-report/:filename</w:t>
            </w:r>
          </w:p>
        </w:tc>
        <w:tc>
          <w:tcPr>
            <w:tcW w:type="dxa" w:w="2880"/>
          </w:tcPr>
          <w:p>
            <w:r>
              <w:rPr>
                <w:b w:val="0"/>
                <w:i w:val="0"/>
              </w:rPr>
              <w:t>GET</w:t>
            </w:r>
          </w:p>
        </w:tc>
        <w:tc>
          <w:tcPr>
            <w:tcW w:type="dxa" w:w="2880"/>
          </w:tcPr>
          <w:p>
            <w:r>
              <w:rPr>
                <w:b w:val="0"/>
                <w:i w:val="0"/>
              </w:rPr>
              <w:t>Serves generated PDF reports for download.</w:t>
            </w:r>
          </w:p>
        </w:tc>
      </w:tr>
    </w:tbl>
    <w:p/>
    <w:p>
      <w:pPr>
        <w:pStyle w:val="Heading2"/>
      </w:pPr>
      <w:r>
        <w:t>Deployment notes</w:t>
      </w:r>
    </w:p>
    <w:p>
      <w:pPr>
        <w:pStyle w:val="IntenseQuote"/>
      </w:pPr>
      <w:r>
        <w:rPr>
          <w:b/>
          <w:i w:val="0"/>
        </w:rPr>
        <w:t xml:space="preserve">Full deployment documentation is in </w:t>
      </w:r>
      <w:hyperlink r:id="rId10">
        <w:r>
          <w:rPr>
            <w:color w:val="0563C1"/>
            <w:u w:val="single"/>
          </w:rPr>
          <w:t>ARCHITECTURE.md</w:t>
        </w:r>
      </w:hyperlink>
      <w:r>
        <w:rPr>
          <w:b/>
          <w:i w:val="0"/>
        </w:rPr>
        <w:t>.</w:t>
      </w:r>
      <w:r>
        <w:rPr>
          <w:b w:val="0"/>
          <w:i w:val="0"/>
        </w:rPr>
        <w:t xml:space="preserve"> This section covers only the calculator-specific deployment steps.</w:t>
      </w:r>
    </w:p>
    <w:p>
      <w:pPr>
        <w:pStyle w:val="ListNumber"/>
      </w:pPr>
      <w:r>
        <w:rPr>
          <w:b w:val="0"/>
          <w:i w:val="0"/>
        </w:rPr>
        <w:t xml:space="preserve">Push code to the GitHub repository — the </w:t>
      </w:r>
      <w:r>
        <w:rPr>
          <w:rFonts w:ascii="Consolas" w:hAnsi="Consolas"/>
          <w:b w:val="0"/>
          <w:i w:val="0"/>
          <w:sz w:val="19"/>
        </w:rPr>
        <w:t>main</w:t>
      </w:r>
      <w:r>
        <w:rPr>
          <w:b w:val="0"/>
          <w:i w:val="0"/>
        </w:rPr>
        <w:t xml:space="preserve"> branch triggers auto-deploy on Render for the backend and Vercel for the frontend.</w:t>
      </w:r>
    </w:p>
    <w:p>
      <w:pPr>
        <w:pStyle w:val="ListNumber"/>
      </w:pPr>
      <w:r>
        <w:rPr>
          <w:b w:val="0"/>
          <w:i w:val="0"/>
        </w:rPr>
        <w:t xml:space="preserve">Add </w:t>
      </w:r>
      <w:r>
        <w:rPr>
          <w:rFonts w:ascii="Consolas" w:hAnsi="Consolas"/>
          <w:b w:val="0"/>
          <w:i w:val="0"/>
          <w:sz w:val="19"/>
        </w:rPr>
        <w:t>ANTHROPIC_API_KEY</w:t>
      </w:r>
      <w:r>
        <w:rPr>
          <w:b w:val="0"/>
          <w:i w:val="0"/>
        </w:rPr>
        <w:t xml:space="preserve"> as an environment variable in the Render service dashboard.</w:t>
      </w:r>
    </w:p>
    <w:p>
      <w:pPr>
        <w:pStyle w:val="ListNumber"/>
      </w:pPr>
      <w:r>
        <w:rPr>
          <w:b w:val="0"/>
          <w:i w:val="0"/>
        </w:rPr>
        <w:t xml:space="preserve">The backend auto-starts using the </w:t>
      </w:r>
      <w:hyperlink r:id="rId28">
        <w:r>
          <w:rPr>
            <w:color w:val="0563C1"/>
            <w:u w:val="single"/>
          </w:rPr>
          <w:t>Procfile</w:t>
        </w:r>
      </w:hyperlink>
      <w:r>
        <w:rPr>
          <w:b w:val="0"/>
          <w:i w:val="0"/>
        </w:rPr>
        <w:t xml:space="preserve"> command. All calculator and AI chat endpoints are accessible at the Render service URL.</w:t>
      </w:r>
    </w:p>
    <w:p>
      <w:pPr>
        <w:pStyle w:val="ListNumber"/>
      </w:pPr>
      <w:r>
        <w:rPr>
          <w:b w:val="0"/>
          <w:i w:val="0"/>
        </w:rPr>
        <w:t xml:space="preserve">The frontend React app is built and deployed via Vercel, configured with the </w:t>
      </w:r>
      <w:r>
        <w:rPr>
          <w:rFonts w:ascii="Consolas" w:hAnsi="Consolas"/>
          <w:b w:val="0"/>
          <w:i w:val="0"/>
          <w:sz w:val="19"/>
        </w:rPr>
        <w:t>CALCULATOR_API</w:t>
      </w:r>
      <w:r>
        <w:rPr>
          <w:b w:val="0"/>
          <w:i w:val="0"/>
        </w:rPr>
        <w:t xml:space="preserve"> URL pointing to the Render backend.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pp.py" TargetMode="External"/><Relationship Id="rId10" Type="http://schemas.openxmlformats.org/officeDocument/2006/relationships/hyperlink" Target="ARCHITECTURE.md" TargetMode="External"/><Relationship Id="rId11" Type="http://schemas.openxmlformats.org/officeDocument/2006/relationships/hyperlink" Target="AUTHENTICATION.md" TargetMode="External"/><Relationship Id="rId12" Type="http://schemas.openxmlformats.org/officeDocument/2006/relationships/hyperlink" Target="MATTERS.md" TargetMode="External"/><Relationship Id="rId13" Type="http://schemas.openxmlformats.org/officeDocument/2006/relationships/hyperlink" Target="../child_support.py" TargetMode="External"/><Relationship Id="rId14" Type="http://schemas.openxmlformats.org/officeDocument/2006/relationships/hyperlink" Target="../spousal_support.py" TargetMode="External"/><Relationship Id="rId15" Type="http://schemas.openxmlformats.org/officeDocument/2006/relationships/hyperlink" Target="../tax.py" TargetMode="External"/><Relationship Id="rId16" Type="http://schemas.openxmlformats.org/officeDocument/2006/relationships/hyperlink" Target="../tax_constants.json" TargetMode="External"/><Relationship Id="rId17" Type="http://schemas.openxmlformats.org/officeDocument/2006/relationships/hyperlink" Target="../schedule_i.json" TargetMode="External"/><Relationship Id="rId18" Type="http://schemas.openxmlformats.org/officeDocument/2006/relationships/hyperlink" Target="../templates/calculator.html" TargetMode="External"/><Relationship Id="rId19" Type="http://schemas.openxmlformats.org/officeDocument/2006/relationships/hyperlink" Target="../templates/spousal-chat.html" TargetMode="External"/><Relationship Id="rId20" Type="http://schemas.openxmlformats.org/officeDocument/2006/relationships/hyperlink" Target="../cloudact-ui/src/components/MatterWorkflow/" TargetMode="External"/><Relationship Id="rId21" Type="http://schemas.openxmlformats.org/officeDocument/2006/relationships/hyperlink" Target="../cloudact-ui/src/components/MatterWorkflow/ChildSupportChatPanel.jsx" TargetMode="External"/><Relationship Id="rId22" Type="http://schemas.openxmlformats.org/officeDocument/2006/relationships/hyperlink" Target="../cloudact-ui/src/components/MatterWorkflow/SpousalSupportChatPanel.jsx" TargetMode="External"/><Relationship Id="rId23" Type="http://schemas.openxmlformats.org/officeDocument/2006/relationships/hyperlink" Target="../cloudact-ui/src/components/MatterWorkflow/MatterIntakeChatPanel.jsx" TargetMode="External"/><Relationship Id="rId24" Type="http://schemas.openxmlformats.org/officeDocument/2006/relationships/hyperlink" Target="../cloudact-ui/src/components/MatterWorkflow/UpdateInformationChatPanel.jsx" TargetMode="External"/><Relationship Id="rId25" Type="http://schemas.openxmlformats.org/officeDocument/2006/relationships/hyperlink" Target="../cloudact-ui/src/components/FamilyLawChat/FamilyLawChat.jsx" TargetMode="External"/><Relationship Id="rId26" Type="http://schemas.openxmlformats.org/officeDocument/2006/relationships/hyperlink" Target="../cloudact-ui/src/components/MatterWorkflow/MatterWorkflow.css" TargetMode="External"/><Relationship Id="rId27" Type="http://schemas.openxmlformats.org/officeDocument/2006/relationships/hyperlink" Target="../cloudact-ui/src/components/MatterWorkflow/matterIntakeContext.js" TargetMode="External"/><Relationship Id="rId28" Type="http://schemas.openxmlformats.org/officeDocument/2006/relationships/hyperlink" Target="../Proc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