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compliance</w:t>
      </w:r>
    </w:p>
    <w:p>
      <w:r>
        <w:rPr>
          <w:b w:val="0"/>
          <w:i w:val="0"/>
        </w:rPr>
        <w:t>How user data is stored, transmitted, and protected across the three services. Start here if you are auditing the platform's security posture, investigating a data-exposure concern, or need to verify that sensitive information is handled correctly.</w:t>
      </w:r>
    </w:p>
    <w:p>
      <w:pPr>
        <w:pStyle w:val="IntenseQuote"/>
      </w:pPr>
      <w:r>
        <w:rPr>
          <w:b/>
          <w:i w:val="0"/>
        </w:rPr>
        <w:t>Related docs.</w:t>
      </w:r>
      <w:r>
        <w:rPr>
          <w:b w:val="0"/>
          <w:i w:val="0"/>
        </w:rPr>
        <w:t xml:space="preserve"> For the deployment topology and environment variables see </w:t>
      </w:r>
      <w:hyperlink r:id="rId9">
        <w:r>
          <w:rPr>
            <w:color w:val="0563C1"/>
            <w:u w:val="single"/>
          </w:rPr>
          <w:t>ARCHITECTURE.md</w:t>
        </w:r>
      </w:hyperlink>
      <w:r>
        <w:rPr>
          <w:b w:val="0"/>
          <w:i w:val="0"/>
        </w:rPr>
        <w:t xml:space="preserve">. For the authentication flow and session cookies see </w:t>
      </w:r>
      <w:hyperlink r:id="rId10">
        <w:r>
          <w:rPr>
            <w:color w:val="0563C1"/>
            <w:u w:val="single"/>
          </w:rPr>
          <w:t>AUTHENTICATION.md</w:t>
        </w:r>
      </w:hyperlink>
      <w:r>
        <w:rPr>
          <w:b w:val="0"/>
          <w:i w:val="0"/>
        </w:rPr>
        <w:t xml:space="preserve">. For the calculator and AI chat endpoints that this document's rules apply to see </w:t>
      </w:r>
      <w:hyperlink r:id="rId11">
        <w:r>
          <w:rPr>
            <w:color w:val="0563C1"/>
            <w:u w:val="single"/>
          </w:rPr>
          <w:t>CALCULATORS.md</w:t>
        </w:r>
      </w:hyperlink>
      <w:r>
        <w:rPr>
          <w:b w:val="0"/>
          <w:i w:val="0"/>
        </w:rPr>
        <w:t>.</w:t>
      </w:r>
    </w:p>
    <w:p/>
    <w:p>
      <w:pPr>
        <w:pStyle w:val="Heading2"/>
      </w:pPr>
      <w:r>
        <w:t>Data storage architecture</w:t>
      </w:r>
    </w:p>
    <w:p>
      <w:r>
        <w:rPr>
          <w:b w:val="0"/>
          <w:i w:val="0"/>
        </w:rPr>
        <w:t>The application uses a two-tier storage model.</w:t>
      </w:r>
    </w:p>
    <w:p>
      <w:r>
        <w:rPr>
          <w:b w:val="0"/>
          <w:i w:val="0"/>
        </w:rPr>
        <w:t xml:space="preserve">The </w:t>
      </w:r>
      <w:r>
        <w:rPr>
          <w:b/>
          <w:i w:val="0"/>
        </w:rPr>
        <w:t>calculator backend</w:t>
      </w:r>
      <w:r>
        <w:rPr>
          <w:b w:val="0"/>
          <w:i w:val="0"/>
        </w:rPr>
        <w:t xml:space="preserve"> (Flask on Render) is stateless — it writes no user data to disk or a database. All session data exists only in browser JavaScript memory and is cleared on page close. Generated PDF reports are additionally cached in a temporary server-side directory on Render for immediate download, but no user-submitted data is persisted.</w:t>
      </w:r>
    </w:p>
    <w:p>
      <w:r>
        <w:rPr>
          <w:b/>
          <w:i w:val="0"/>
        </w:rPr>
        <w:t>Persistent storage</w:t>
      </w:r>
      <w:r>
        <w:rPr>
          <w:b w:val="0"/>
          <w:i w:val="0"/>
        </w:rPr>
        <w:t xml:space="preserve"> is handled separately by the authenticated auth server (Node.js / Express / Prisma) backed by a PostgreSQL database hosted on AWS. This database stores user accounts, matter records, calculation results, and PDF attachments. Data flows from the calculator backend to the AWS database only through the authenticated frontend after explicit user action (the </w:t>
      </w:r>
      <w:r>
        <w:rPr>
          <w:b/>
          <w:i w:val="0"/>
        </w:rPr>
        <w:t>Save to Matter</w:t>
      </w:r>
      <w:r>
        <w:rPr>
          <w:b w:val="0"/>
          <w:i w:val="0"/>
        </w:rPr>
        <w:t xml:space="preserve"> button).</w:t>
      </w:r>
    </w:p>
    <w:p/>
    <w:p>
      <w:pPr>
        <w:pStyle w:val="Heading2"/>
      </w:pPr>
      <w:r>
        <w:t>API key management</w:t>
      </w:r>
    </w:p>
    <w:p>
      <w:r>
        <w:rPr>
          <w:rFonts w:ascii="Consolas" w:hAnsi="Consolas"/>
          <w:b w:val="0"/>
          <w:i w:val="0"/>
          <w:sz w:val="19"/>
        </w:rPr>
        <w:t>ANTHROPIC_API_KEY</w:t>
      </w:r>
      <w:r>
        <w:rPr>
          <w:b w:val="0"/>
          <w:i w:val="0"/>
        </w:rPr>
        <w:t xml:space="preserve"> is a server-side environment variable (</w:t>
      </w:r>
      <w:r>
        <w:rPr>
          <w:rFonts w:ascii="Consolas" w:hAnsi="Consolas"/>
          <w:b w:val="0"/>
          <w:i w:val="0"/>
          <w:sz w:val="19"/>
        </w:rPr>
        <w:t>.env</w:t>
      </w:r>
      <w:r>
        <w:rPr>
          <w:b w:val="0"/>
          <w:i w:val="0"/>
        </w:rPr>
        <w:t xml:space="preserve"> locally, dashboard variable on Render). It is never exposed to the browser or included in frontend code.</w:t>
      </w:r>
    </w:p>
    <w:p>
      <w:r>
        <w:rPr>
          <w:b w:val="0"/>
          <w:i w:val="0"/>
        </w:rPr>
        <w:t>Database credentials for the AWS PostgreSQL instance are held only by the auth server as environment variables and are never exposed to the calculator backend or the frontend.</w:t>
      </w:r>
    </w:p>
    <w:p/>
    <w:p>
      <w:pPr>
        <w:pStyle w:val="Heading2"/>
      </w:pPr>
      <w:r>
        <w:t>CORS</w:t>
      </w:r>
    </w:p>
    <w:p>
      <w:r>
        <w:rPr>
          <w:b w:val="0"/>
          <w:i w:val="0"/>
        </w:rPr>
        <w:t>Flask-CORS is configured on the calculator backend to permit cross-origin requests from the frontend. In a production hardening step, this should be restricted to the known frontend domain. The auth server enforces its own CORS policy scoped to the authenticated frontend origin.</w:t>
      </w:r>
    </w:p>
    <w:p/>
    <w:p>
      <w:pPr>
        <w:pStyle w:val="Heading2"/>
      </w:pPr>
      <w:r>
        <w:t>HTTPS</w:t>
      </w:r>
    </w:p>
    <w:p>
      <w:r>
        <w:rPr>
          <w:b w:val="0"/>
          <w:i w:val="0"/>
        </w:rPr>
        <w:t>All communication between the frontend, calculator backend, and auth server occurs over HTTPS. Render enforces TLS for the calculator backend; the auth server uses its own TLS termination for the AWS-backed API.</w:t>
      </w:r>
    </w:p>
    <w:p/>
    <w:p>
      <w:pPr>
        <w:pStyle w:val="Heading2"/>
      </w:pPr>
      <w:r>
        <w:t>Authentication and authorization</w:t>
      </w:r>
    </w:p>
    <w:p>
      <w:r>
        <w:rPr>
          <w:b w:val="0"/>
          <w:i w:val="0"/>
        </w:rPr>
        <w:t>The auth server enforces user authentication (session tokens / JWT) on every matter read and write. The calculator backend does not accept or store credentials — all persisted matter data flows through the authenticated frontend, which attaches the user's session token to auth-server requests. Users can only read and write matter records they own or have been granted access to.</w:t>
      </w:r>
    </w:p>
    <w:p>
      <w:r>
        <w:rPr>
          <w:b w:val="0"/>
          <w:i w:val="0"/>
        </w:rPr>
        <w:t xml:space="preserve">For full details on the session model, cookie handling, and token lifecycle see </w:t>
      </w:r>
      <w:hyperlink r:id="rId10">
        <w:r>
          <w:rPr>
            <w:color w:val="0563C1"/>
            <w:u w:val="single"/>
          </w:rPr>
          <w:t>AUTHENTICATION.md</w:t>
        </w:r>
      </w:hyperlink>
      <w:r>
        <w:rPr>
          <w:b w:val="0"/>
          <w:i w:val="0"/>
        </w:rPr>
        <w:t>.</w:t>
      </w:r>
    </w:p>
    <w:p/>
    <w:p>
      <w:pPr>
        <w:pStyle w:val="Heading2"/>
      </w:pPr>
      <w:r>
        <w:t>Input validation</w:t>
      </w:r>
    </w:p>
    <w:p>
      <w:r>
        <w:rPr>
          <w:b w:val="0"/>
          <w:i w:val="0"/>
        </w:rPr>
        <w:t>All endpoints validate required fields and return descriptive JSON error messages on invalid input. No raw exception details are exposed to the client.</w:t>
      </w:r>
    </w:p>
    <w:p/>
    <w:p>
      <w:pPr>
        <w:pStyle w:val="Heading2"/>
      </w:pPr>
      <w:r>
        <w:t>SIN protection</w:t>
      </w:r>
    </w:p>
    <w:p>
      <w:r>
        <w:rPr>
          <w:b w:val="0"/>
          <w:i w:val="0"/>
        </w:rPr>
        <w:t>The T1 extraction endpoint (</w:t>
      </w:r>
      <w:r>
        <w:rPr>
          <w:rFonts w:ascii="Consolas" w:hAnsi="Consolas"/>
          <w:b w:val="0"/>
          <w:i w:val="0"/>
          <w:sz w:val="19"/>
        </w:rPr>
        <w:t>/t1-extract</w:t>
      </w:r>
      <w:r>
        <w:rPr>
          <w:b w:val="0"/>
          <w:i w:val="0"/>
        </w:rPr>
        <w:t>) explicitly never extracts or outputs Social Insurance Numbers from uploaded tax returns. SINs are never transmitted to the AI, never included in API responses, and never written to the AWS database.</w:t>
      </w:r>
    </w:p>
    <w:p/>
    <w:p>
      <w:pPr>
        <w:pStyle w:val="Heading2"/>
      </w:pPr>
      <w:r>
        <w:t>Session metadata privacy</w:t>
      </w:r>
    </w:p>
    <w:p>
      <w:r>
        <w:rPr>
          <w:b w:val="0"/>
          <w:i w:val="0"/>
        </w:rPr>
        <w:t xml:space="preserve">Law firm name, firm ID, lawyer name, province, and matter identifiers are sent to the AI for context but hidden from the user-visible chat bubble (via the </w:t>
      </w:r>
      <w:r>
        <w:rPr>
          <w:rFonts w:ascii="Consolas" w:hAnsi="Consolas"/>
          <w:b w:val="0"/>
          <w:i w:val="0"/>
          <w:sz w:val="19"/>
        </w:rPr>
        <w:t>aiOnly</w:t>
      </w:r>
      <w:r>
        <w:rPr>
          <w:b w:val="0"/>
          <w:i w:val="0"/>
        </w:rPr>
        <w:t xml:space="preserve"> channel in </w:t>
      </w:r>
      <w:r>
        <w:rPr>
          <w:rFonts w:ascii="Consolas" w:hAnsi="Consolas"/>
          <w:b w:val="0"/>
          <w:i w:val="0"/>
          <w:sz w:val="19"/>
        </w:rPr>
        <w:t>buildContextMessage</w:t>
      </w:r>
      <w:r>
        <w:rPr>
          <w:b w:val="0"/>
          <w:i w:val="0"/>
        </w:rPr>
        <w:t xml:space="preserve"> — see </w:t>
      </w:r>
      <w:hyperlink r:id="rId11">
        <w:r>
          <w:rPr>
            <w:color w:val="0563C1"/>
            <w:u w:val="single"/>
          </w:rPr>
          <w:t>CALCULATORS.md</w:t>
        </w:r>
      </w:hyperlink>
      <w:r>
        <w:rPr>
          <w:b w:val="0"/>
          <w:i w:val="0"/>
        </w:rPr>
        <w:t>). This prevents sensitive firm data from appearing in the UI where it could be inadvertently shared via screenshots or screen recordings.</w:t>
      </w:r>
    </w:p>
    <w:p/>
    <w:p>
      <w:pPr>
        <w:pStyle w:val="Heading2"/>
      </w:pPr>
      <w:r>
        <w:t>Data-at-rest protection</w:t>
      </w:r>
    </w:p>
    <w:p>
      <w:r>
        <w:rPr>
          <w:b w:val="0"/>
          <w:i w:val="0"/>
        </w:rPr>
        <w:t>Matter records, calculation results, and attached PDF reports stored in the AWS PostgreSQL database are protected by AWS-managed encryption at rest. Backups follow the auth server's retention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RCHITECTURE.md" TargetMode="External"/><Relationship Id="rId10" Type="http://schemas.openxmlformats.org/officeDocument/2006/relationships/hyperlink" Target="AUTHENTICATION.md" TargetMode="External"/><Relationship Id="rId11" Type="http://schemas.openxmlformats.org/officeDocument/2006/relationships/hyperlink" Target="CALCULATOR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