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1F3864"/>
          <w:sz w:val="36"/>
          <w:szCs w:val="36"/>
        </w:rPr>
        <w:t xml:space="preserve">Calculators, AI Chat Assistants &amp; Calculation Engine Documentation</w:t>
      </w:r>
    </w:p>
    <w:p>
      <w:pPr>
        <w:pStyle w:val="Heading1"/>
        <w:spacing w:after="120" w:before="240"/>
      </w:pPr>
      <w:r>
        <w:rPr>
          <w:sz w:val="22"/>
          <w:szCs w:val="22"/>
        </w:rPr>
        <w:t xml:space="preserve">Calculators, AI chat assistants &amp; the calculation engine</w:t>
      </w:r>
    </w:p>
    <w:p>
      <w:pPr>
        <w:spacing w:after="120" w:line="276"/>
      </w:pPr>
      <w:r>
        <w:rPr>
          <w:sz w:val="22"/>
          <w:szCs w:val="22"/>
        </w:rPr>
        <w:t xml:space="preserve">How the child support, spousal support, and tax calculators work — the math engines, the AI chat workflows, the form-based endpoints, and the PDF reports they produce. Start here if you are debugging a wrong calculation result, a chat that loops or stalls, a PDF that fails to generate, or a "Save to Matter" that does not persist.</w:t>
      </w:r>
    </w:p>
    <w:p>
      <w:pPr>
        <w:pBdr>
          <w:left w:val="single" w:color="4472C4" w:sz="6" w:space="10"/>
        </w:pBdr>
        <w:shd w:fill="F2F7FC" w:color="auto" w:val="clear"/>
        <w:spacing w:after="120"/>
        <w:ind w:left="720"/>
      </w:pPr>
      <w:r>
        <w:rPr>
          <w:b/>
          <w:bCs/>
          <w:sz w:val="22"/>
          <w:szCs w:val="22"/>
        </w:rPr>
        <w:t xml:space="preserve">Relationship to other docs.</w:t>
      </w:r>
      <w:r>
        <w:rPr>
          <w:sz w:val="22"/>
          <w:szCs w:val="22"/>
        </w:rPr>
        <w:t xml:space="preserve"> This document covers the Flask backend's calculation and AI features (everything under </w:t>
      </w:r>
      <w:r>
        <w:rPr>
          <w:color w:val="2B579A"/>
          <w:sz w:val="22"/>
          <w:szCs w:val="22"/>
          <w:u w:val="single"/>
        </w:rPr>
        <w:t xml:space="preserve">app.py</w:t>
      </w:r>
      <w:r>
        <w:rPr>
          <w:sz w:val="22"/>
          <w:szCs w:val="22"/>
        </w:rPr>
        <w:t xml:space="preserve">). For the tax engine in detail (how taxes are calculated, how to update constants, how to add a new province or year), see </w:t>
      </w:r>
      <w:r>
        <w:rPr>
          <w:color w:val="2B579A"/>
          <w:sz w:val="22"/>
          <w:szCs w:val="22"/>
          <w:u w:val="single"/>
        </w:rPr>
        <w:t xml:space="preserve">TAXES.md</w:t>
      </w:r>
      <w:r>
        <w:rPr>
          <w:sz w:val="22"/>
          <w:szCs w:val="22"/>
        </w:rPr>
        <w:t xml:space="preserve">. For the hosting, environment variables, and deployment topology, see </w:t>
      </w:r>
      <w:r>
        <w:rPr>
          <w:color w:val="2B579A"/>
          <w:sz w:val="22"/>
          <w:szCs w:val="22"/>
          <w:u w:val="single"/>
        </w:rPr>
        <w:t xml:space="preserve">ARCHITECTURE.md</w:t>
      </w:r>
      <w:r>
        <w:rPr>
          <w:sz w:val="22"/>
          <w:szCs w:val="22"/>
        </w:rPr>
        <w:t xml:space="preserve">. For authentication and session cookies, see </w:t>
      </w:r>
      <w:r>
        <w:rPr>
          <w:color w:val="2B579A"/>
          <w:sz w:val="22"/>
          <w:szCs w:val="22"/>
          <w:u w:val="single"/>
        </w:rPr>
        <w:t xml:space="preserve">AUTHENTICATION.md</w:t>
      </w:r>
      <w:r>
        <w:rPr>
          <w:sz w:val="22"/>
          <w:szCs w:val="22"/>
        </w:rPr>
        <w:t xml:space="preserve">. For the matter workflow that *contains* the calculator chat panels, see </w:t>
      </w:r>
      <w:r>
        <w:rPr>
          <w:color w:val="2B579A"/>
          <w:sz w:val="22"/>
          <w:szCs w:val="22"/>
          <w:u w:val="single"/>
        </w:rPr>
        <w:t xml:space="preserve">MATTERS.md</w:t>
      </w:r>
      <w:r>
        <w:rPr>
          <w:sz w:val="22"/>
          <w:szCs w:val="22"/>
        </w:rPr>
        <w:t xml:space="preserve">.</w:t>
      </w:r>
    </w:p>
    <w:p>
      <w:pPr>
        <w:pBdr>
          <w:bottom w:val="single" w:color="BFBFBF" w:sz="6"/>
        </w:pBdr>
        <w:spacing w:after="120" w:before="120"/>
      </w:pPr>
    </w:p>
    <w:p>
      <w:pPr>
        <w:pStyle w:val="Heading2"/>
        <w:spacing w:after="120" w:before="240"/>
      </w:pPr>
      <w:r>
        <w:rPr>
          <w:sz w:val="22"/>
          <w:szCs w:val="22"/>
        </w:rPr>
        <w:t xml:space="preserve">Where it lives</w:t>
      </w:r>
    </w:p>
    <w:p>
      <w:pPr>
        <w:spacing w:after="120" w:line="276"/>
      </w:pPr>
      <w:r>
        <w:rPr>
          <w:b/>
          <w:bCs/>
          <w:sz w:val="22"/>
          <w:szCs w:val="22"/>
        </w:rPr>
        <w:t xml:space="preserve">Backend (Flask — [app.py](../app.py))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6E4F0" w:color="auto" w:val="clear"/>
          </w:tcPr>
          <w:p>
            <w:pPr>
              <w:spacing w:after="40" w:before="40"/>
            </w:pPr>
            <w:r>
              <w:rPr>
                <w:sz w:val="22"/>
                <w:szCs w:val="22"/>
              </w:rPr>
              <w:t xml:space="preserve">Piece</w:t>
            </w:r>
          </w:p>
        </w:tc>
        <w:tc>
          <w:tcPr>
            <w:tcW w:type="dxa" w:w="4680"/>
            <w:shd w:fill="D6E4F0" w:color="auto" w:val="clear"/>
          </w:tcPr>
          <w:p>
            <w:pPr>
              <w:spacing w:after="40" w:before="40"/>
            </w:pPr>
            <w:r>
              <w:rPr>
                <w:sz w:val="22"/>
                <w:szCs w:val="22"/>
              </w:rPr>
              <w:t xml:space="preserve">File</w:t>
            </w:r>
          </w:p>
        </w:tc>
      </w:tr>
      <w:tr>
        <w:trPr>
          <w:tblHeader w:val="false"/>
        </w:trPr>
        <w:tc>
          <w:tcPr>
            <w:tcW w:type="dxa" w:w="4680"/>
            <w:shd w:fill="FFFFFF" w:color="auto" w:val="clear"/>
          </w:tcPr>
          <w:p>
            <w:pPr>
              <w:spacing w:after="40" w:before="40"/>
            </w:pPr>
            <w:r>
              <w:rPr>
                <w:sz w:val="22"/>
                <w:szCs w:val="22"/>
              </w:rPr>
              <w:t xml:space="preserve">All endpoints &amp; AI agent loops</w:t>
            </w:r>
          </w:p>
        </w:tc>
        <w:tc>
          <w:tcPr>
            <w:tcW w:type="dxa" w:w="4680"/>
            <w:shd w:fill="FFFFFF" w:color="auto" w:val="clear"/>
          </w:tcPr>
          <w:p>
            <w:pPr>
              <w:spacing w:after="40" w:before="40"/>
            </w:pPr>
            <w:r>
              <w:rPr>
                <w:color w:val="2B579A"/>
                <w:sz w:val="22"/>
                <w:szCs w:val="22"/>
                <w:u w:val="single"/>
              </w:rPr>
              <w:t xml:space="preserve">app.py</w:t>
            </w:r>
          </w:p>
        </w:tc>
      </w:tr>
      <w:tr>
        <w:trPr>
          <w:tblHeader w:val="false"/>
        </w:trPr>
        <w:tc>
          <w:tcPr>
            <w:tcW w:type="dxa" w:w="4680"/>
            <w:shd w:fill="F2F2F2" w:color="auto" w:val="clear"/>
          </w:tcPr>
          <w:p>
            <w:pPr>
              <w:spacing w:after="40" w:before="40"/>
            </w:pPr>
            <w:r>
              <w:rPr>
                <w:sz w:val="22"/>
                <w:szCs w:val="22"/>
              </w:rPr>
              <w:t xml:space="preserve">PDF report generator</w:t>
            </w:r>
          </w:p>
        </w:tc>
        <w:tc>
          <w:tcPr>
            <w:tcW w:type="dxa" w:w="4680"/>
            <w:shd w:fill="F2F2F2" w:color="auto" w:val="clear"/>
          </w:tcPr>
          <w:p>
            <w:pPr>
              <w:spacing w:after="40" w:before="40"/>
            </w:pPr>
            <w:r>
              <w:rPr>
                <w:color w:val="2B579A"/>
                <w:sz w:val="22"/>
                <w:szCs w:val="22"/>
                <w:u w:val="single"/>
              </w:rPr>
              <w:t xml:space="preserve">report_pdf.py</w:t>
            </w:r>
          </w:p>
        </w:tc>
      </w:tr>
      <w:tr>
        <w:trPr>
          <w:tblHeader w:val="false"/>
        </w:trPr>
        <w:tc>
          <w:tcPr>
            <w:tcW w:type="dxa" w:w="4680"/>
            <w:shd w:fill="FFFFFF" w:color="auto" w:val="clear"/>
          </w:tcPr>
          <w:p>
            <w:pPr>
              <w:spacing w:after="40" w:before="40"/>
            </w:pPr>
            <w:r>
              <w:rPr>
                <w:sz w:val="22"/>
                <w:szCs w:val="22"/>
              </w:rPr>
              <w:t xml:space="preserve">Generated reports directory</w:t>
            </w:r>
          </w:p>
        </w:tc>
        <w:tc>
          <w:tcPr>
            <w:tcW w:type="dxa" w:w="4680"/>
            <w:shd w:fill="FFFFFF" w:color="auto" w:val="clear"/>
          </w:tcPr>
          <w:p>
            <w:pPr>
              <w:spacing w:after="40" w:before="40"/>
            </w:pPr>
            <w:r>
              <w:rPr>
                <w:rFonts w:ascii="Courier New" w:cs="Courier New" w:eastAsia="Courier New" w:hAnsi="Courier New"/>
                <w:sz w:val="20"/>
                <w:szCs w:val="20"/>
                <w:shd w:fill="E8E8E8" w:color="auto" w:val="clear"/>
              </w:rPr>
              <w:t xml:space="preserve">generated_reports/</w:t>
            </w:r>
            <w:r>
              <w:rPr>
                <w:sz w:val="22"/>
                <w:szCs w:val="22"/>
              </w:rPr>
              <w:t xml:space="preserve"> (created at import time)</w:t>
            </w:r>
          </w:p>
        </w:tc>
      </w:tr>
      <w:tr>
        <w:trPr>
          <w:tblHeader w:val="false"/>
        </w:trPr>
        <w:tc>
          <w:tcPr>
            <w:tcW w:type="dxa" w:w="4680"/>
            <w:shd w:fill="F2F2F2" w:color="auto" w:val="clear"/>
          </w:tcPr>
          <w:p>
            <w:pPr>
              <w:spacing w:after="40" w:before="40"/>
            </w:pPr>
            <w:r>
              <w:rPr>
                <w:sz w:val="22"/>
                <w:szCs w:val="22"/>
              </w:rPr>
              <w:t xml:space="preserve">Child support math engine</w:t>
            </w:r>
          </w:p>
        </w:tc>
        <w:tc>
          <w:tcPr>
            <w:tcW w:type="dxa" w:w="4680"/>
            <w:shd w:fill="F2F2F2" w:color="auto" w:val="clear"/>
          </w:tcPr>
          <w:p>
            <w:pPr>
              <w:spacing w:after="40" w:before="40"/>
            </w:pPr>
            <w:r>
              <w:rPr>
                <w:color w:val="2B579A"/>
                <w:sz w:val="22"/>
                <w:szCs w:val="22"/>
                <w:u w:val="single"/>
              </w:rPr>
              <w:t xml:space="preserve">child_support.py</w:t>
            </w:r>
          </w:p>
        </w:tc>
      </w:tr>
      <w:tr>
        <w:trPr>
          <w:tblHeader w:val="false"/>
        </w:trPr>
        <w:tc>
          <w:tcPr>
            <w:tcW w:type="dxa" w:w="4680"/>
            <w:shd w:fill="FFFFFF" w:color="auto" w:val="clear"/>
          </w:tcPr>
          <w:p>
            <w:pPr>
              <w:spacing w:after="40" w:before="40"/>
            </w:pPr>
            <w:r>
              <w:rPr>
                <w:sz w:val="22"/>
                <w:szCs w:val="22"/>
              </w:rPr>
              <w:t xml:space="preserve">Spousal support math engine</w:t>
            </w:r>
          </w:p>
        </w:tc>
        <w:tc>
          <w:tcPr>
            <w:tcW w:type="dxa" w:w="4680"/>
            <w:shd w:fill="FFFFFF" w:color="auto" w:val="clear"/>
          </w:tcPr>
          <w:p>
            <w:pPr>
              <w:spacing w:after="40" w:before="40"/>
            </w:pPr>
            <w:r>
              <w:rPr>
                <w:color w:val="2B579A"/>
                <w:sz w:val="22"/>
                <w:szCs w:val="22"/>
                <w:u w:val="single"/>
              </w:rPr>
              <w:t xml:space="preserve">spousal_support.py</w:t>
            </w:r>
          </w:p>
        </w:tc>
      </w:tr>
      <w:tr>
        <w:trPr>
          <w:tblHeader w:val="false"/>
        </w:trPr>
        <w:tc>
          <w:tcPr>
            <w:tcW w:type="dxa" w:w="4680"/>
            <w:shd w:fill="F2F2F2" w:color="auto" w:val="clear"/>
          </w:tcPr>
          <w:p>
            <w:pPr>
              <w:spacing w:after="40" w:before="40"/>
            </w:pPr>
            <w:r>
              <w:rPr>
                <w:sz w:val="22"/>
                <w:szCs w:val="22"/>
              </w:rPr>
              <w:t xml:space="preserve">Tax engine (ON, BC, AB, SK, MB)</w:t>
            </w:r>
          </w:p>
        </w:tc>
        <w:tc>
          <w:tcPr>
            <w:tcW w:type="dxa" w:w="4680"/>
            <w:shd w:fill="F2F2F2" w:color="auto" w:val="clear"/>
          </w:tcPr>
          <w:p>
            <w:pPr>
              <w:spacing w:after="40" w:before="40"/>
            </w:pPr>
            <w:r>
              <w:rPr>
                <w:color w:val="2B579A"/>
                <w:sz w:val="22"/>
                <w:szCs w:val="22"/>
                <w:u w:val="single"/>
              </w:rPr>
              <w:t xml:space="preserve">tax.py</w:t>
            </w:r>
          </w:p>
        </w:tc>
      </w:tr>
      <w:tr>
        <w:trPr>
          <w:tblHeader w:val="false"/>
        </w:trPr>
        <w:tc>
          <w:tcPr>
            <w:tcW w:type="dxa" w:w="4680"/>
            <w:shd w:fill="FFFFFF" w:color="auto" w:val="clear"/>
          </w:tcPr>
          <w:p>
            <w:pPr>
              <w:spacing w:after="40" w:before="40"/>
            </w:pPr>
            <w:r>
              <w:rPr>
                <w:sz w:val="22"/>
                <w:szCs w:val="22"/>
              </w:rPr>
              <w:t xml:space="preserve">Tax year constants</w:t>
            </w:r>
          </w:p>
        </w:tc>
        <w:tc>
          <w:tcPr>
            <w:tcW w:type="dxa" w:w="4680"/>
            <w:shd w:fill="FFFFFF" w:color="auto" w:val="clear"/>
          </w:tcPr>
          <w:p>
            <w:pPr>
              <w:spacing w:after="40" w:before="40"/>
            </w:pPr>
            <w:r>
              <w:rPr>
                <w:color w:val="2B579A"/>
                <w:sz w:val="22"/>
                <w:szCs w:val="22"/>
                <w:u w:val="single"/>
              </w:rPr>
              <w:t xml:space="preserve">tax_constants.json</w:t>
            </w:r>
          </w:p>
        </w:tc>
      </w:tr>
      <w:tr>
        <w:trPr>
          <w:tblHeader w:val="false"/>
        </w:trPr>
        <w:tc>
          <w:tcPr>
            <w:tcW w:type="dxa" w:w="4680"/>
            <w:shd w:fill="F2F2F2" w:color="auto" w:val="clear"/>
          </w:tcPr>
          <w:p>
            <w:pPr>
              <w:spacing w:after="40" w:before="40"/>
            </w:pPr>
            <w:r>
              <w:rPr>
                <w:sz w:val="22"/>
                <w:szCs w:val="22"/>
              </w:rPr>
              <w:t xml:space="preserve">Schedule I table data (ON, BC, AB, SK, MB — 2025)</w:t>
            </w:r>
          </w:p>
        </w:tc>
        <w:tc>
          <w:tcPr>
            <w:tcW w:type="dxa" w:w="4680"/>
            <w:shd w:fill="F2F2F2" w:color="auto" w:val="clear"/>
          </w:tcPr>
          <w:p>
            <w:pPr>
              <w:spacing w:after="40" w:before="40"/>
            </w:pPr>
            <w:r>
              <w:rPr>
                <w:color w:val="2B579A"/>
                <w:sz w:val="22"/>
                <w:szCs w:val="22"/>
                <w:u w:val="single"/>
              </w:rPr>
              <w:t xml:space="preserve">schedule_i.json</w:t>
            </w:r>
          </w:p>
        </w:tc>
      </w:tr>
      <w:tr>
        <w:trPr>
          <w:tblHeader w:val="false"/>
        </w:trPr>
        <w:tc>
          <w:tcPr>
            <w:tcW w:type="dxa" w:w="4680"/>
            <w:shd w:fill="FFFFFF" w:color="auto" w:val="clear"/>
          </w:tcPr>
          <w:p>
            <w:pPr>
              <w:spacing w:after="40" w:before="40"/>
            </w:pPr>
            <w:r>
              <w:rPr>
                <w:sz w:val="22"/>
                <w:szCs w:val="22"/>
              </w:rPr>
              <w:t xml:space="preserve">Standalone calculator HTML</w:t>
            </w:r>
          </w:p>
        </w:tc>
        <w:tc>
          <w:tcPr>
            <w:tcW w:type="dxa" w:w="4680"/>
            <w:shd w:fill="FFFFFF" w:color="auto" w:val="clear"/>
          </w:tcPr>
          <w:p>
            <w:pPr>
              <w:spacing w:after="40" w:before="40"/>
            </w:pPr>
            <w:r>
              <w:rPr>
                <w:color w:val="2B579A"/>
                <w:sz w:val="22"/>
                <w:szCs w:val="22"/>
                <w:u w:val="single"/>
              </w:rPr>
              <w:t xml:space="preserve">templates/calculator.html</w:t>
            </w:r>
          </w:p>
        </w:tc>
      </w:tr>
      <w:tr>
        <w:trPr>
          <w:tblHeader w:val="false"/>
        </w:trPr>
        <w:tc>
          <w:tcPr>
            <w:tcW w:type="dxa" w:w="4680"/>
            <w:shd w:fill="F2F2F2" w:color="auto" w:val="clear"/>
          </w:tcPr>
          <w:p>
            <w:pPr>
              <w:spacing w:after="40" w:before="40"/>
            </w:pPr>
            <w:r>
              <w:rPr>
                <w:sz w:val="22"/>
                <w:szCs w:val="22"/>
              </w:rPr>
              <w:t xml:space="preserve">Standalone spousal chat HTML</w:t>
            </w:r>
          </w:p>
        </w:tc>
        <w:tc>
          <w:tcPr>
            <w:tcW w:type="dxa" w:w="4680"/>
            <w:shd w:fill="F2F2F2" w:color="auto" w:val="clear"/>
          </w:tcPr>
          <w:p>
            <w:pPr>
              <w:spacing w:after="40" w:before="40"/>
            </w:pPr>
            <w:r>
              <w:rPr>
                <w:color w:val="2B579A"/>
                <w:sz w:val="22"/>
                <w:szCs w:val="22"/>
                <w:u w:val="single"/>
              </w:rPr>
              <w:t xml:space="preserve">templates/spousal-chat.html</w:t>
            </w:r>
          </w:p>
        </w:tc>
      </w:tr>
    </w:tbl>
    <w:p>
      <w:pPr>
        <w:spacing w:after="120"/>
      </w:pPr>
    </w:p>
    <w:p>
      <w:pPr>
        <w:spacing w:after="120" w:line="276"/>
      </w:pPr>
      <w:r>
        <w:rPr>
          <w:b/>
          <w:bCs/>
          <w:sz w:val="22"/>
          <w:szCs w:val="22"/>
        </w:rPr>
        <w:t xml:space="preserve">Frontend chat panels ([cloudact-ui/src/components/MatterWorkflow/](../cloudact-ui/src/components/MatterWorkflow/))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6E4F0" w:color="auto" w:val="clear"/>
          </w:tcPr>
          <w:p>
            <w:pPr>
              <w:spacing w:after="40" w:before="40"/>
            </w:pPr>
            <w:r>
              <w:rPr>
                <w:sz w:val="22"/>
                <w:szCs w:val="22"/>
              </w:rPr>
              <w:t xml:space="preserve">Piece</w:t>
            </w:r>
          </w:p>
        </w:tc>
        <w:tc>
          <w:tcPr>
            <w:tcW w:type="dxa" w:w="4680"/>
            <w:shd w:fill="D6E4F0" w:color="auto" w:val="clear"/>
          </w:tcPr>
          <w:p>
            <w:pPr>
              <w:spacing w:after="40" w:before="40"/>
            </w:pPr>
            <w:r>
              <w:rPr>
                <w:sz w:val="22"/>
                <w:szCs w:val="22"/>
              </w:rPr>
              <w:t xml:space="preserve">File</w:t>
            </w:r>
          </w:p>
        </w:tc>
      </w:tr>
      <w:tr>
        <w:trPr>
          <w:tblHeader w:val="false"/>
        </w:trPr>
        <w:tc>
          <w:tcPr>
            <w:tcW w:type="dxa" w:w="4680"/>
            <w:shd w:fill="FFFFFF" w:color="auto" w:val="clear"/>
          </w:tcPr>
          <w:p>
            <w:pPr>
              <w:spacing w:after="40" w:before="40"/>
            </w:pPr>
            <w:r>
              <w:rPr>
                <w:sz w:val="22"/>
                <w:szCs w:val="22"/>
              </w:rPr>
              <w:t xml:space="preserve">Child support chat panel</w:t>
            </w:r>
          </w:p>
        </w:tc>
        <w:tc>
          <w:tcPr>
            <w:tcW w:type="dxa" w:w="4680"/>
            <w:shd w:fill="FFFFFF" w:color="auto" w:val="clear"/>
          </w:tcPr>
          <w:p>
            <w:pPr>
              <w:spacing w:after="40" w:before="40"/>
            </w:pPr>
            <w:r>
              <w:rPr>
                <w:color w:val="2B579A"/>
                <w:sz w:val="22"/>
                <w:szCs w:val="22"/>
                <w:u w:val="single"/>
              </w:rPr>
              <w:t xml:space="preserve">ChildSupportChatPanel.jsx</w:t>
            </w:r>
          </w:p>
        </w:tc>
      </w:tr>
      <w:tr>
        <w:trPr>
          <w:tblHeader w:val="false"/>
        </w:trPr>
        <w:tc>
          <w:tcPr>
            <w:tcW w:type="dxa" w:w="4680"/>
            <w:shd w:fill="F2F2F2" w:color="auto" w:val="clear"/>
          </w:tcPr>
          <w:p>
            <w:pPr>
              <w:spacing w:after="40" w:before="40"/>
            </w:pPr>
            <w:r>
              <w:rPr>
                <w:sz w:val="22"/>
                <w:szCs w:val="22"/>
              </w:rPr>
              <w:t xml:space="preserve">Spousal support chat panel</w:t>
            </w:r>
          </w:p>
        </w:tc>
        <w:tc>
          <w:tcPr>
            <w:tcW w:type="dxa" w:w="4680"/>
            <w:shd w:fill="F2F2F2" w:color="auto" w:val="clear"/>
          </w:tcPr>
          <w:p>
            <w:pPr>
              <w:spacing w:after="40" w:before="40"/>
            </w:pPr>
            <w:r>
              <w:rPr>
                <w:color w:val="2B579A"/>
                <w:sz w:val="22"/>
                <w:szCs w:val="22"/>
                <w:u w:val="single"/>
              </w:rPr>
              <w:t xml:space="preserve">SpousalSupportChatPanel.jsx</w:t>
            </w:r>
          </w:p>
        </w:tc>
      </w:tr>
      <w:tr>
        <w:trPr>
          <w:tblHeader w:val="false"/>
        </w:trPr>
        <w:tc>
          <w:tcPr>
            <w:tcW w:type="dxa" w:w="4680"/>
            <w:shd w:fill="FFFFFF" w:color="auto" w:val="clear"/>
          </w:tcPr>
          <w:p>
            <w:pPr>
              <w:spacing w:after="40" w:before="40"/>
            </w:pPr>
            <w:r>
              <w:rPr>
                <w:sz w:val="22"/>
                <w:szCs w:val="22"/>
              </w:rPr>
              <w:t xml:space="preserve">Matter intake chat panel</w:t>
            </w:r>
          </w:p>
        </w:tc>
        <w:tc>
          <w:tcPr>
            <w:tcW w:type="dxa" w:w="4680"/>
            <w:shd w:fill="FFFFFF" w:color="auto" w:val="clear"/>
          </w:tcPr>
          <w:p>
            <w:pPr>
              <w:spacing w:after="40" w:before="40"/>
            </w:pPr>
            <w:r>
              <w:rPr>
                <w:color w:val="2B579A"/>
                <w:sz w:val="22"/>
                <w:szCs w:val="22"/>
                <w:u w:val="single"/>
              </w:rPr>
              <w:t xml:space="preserve">MatterIntakeChatPanel.jsx</w:t>
            </w:r>
          </w:p>
        </w:tc>
      </w:tr>
      <w:tr>
        <w:trPr>
          <w:tblHeader w:val="false"/>
        </w:trPr>
        <w:tc>
          <w:tcPr>
            <w:tcW w:type="dxa" w:w="4680"/>
            <w:shd w:fill="F2F2F2" w:color="auto" w:val="clear"/>
          </w:tcPr>
          <w:p>
            <w:pPr>
              <w:spacing w:after="40" w:before="40"/>
            </w:pPr>
            <w:r>
              <w:rPr>
                <w:sz w:val="22"/>
                <w:szCs w:val="22"/>
              </w:rPr>
              <w:t xml:space="preserve">Update information chat panel</w:t>
            </w:r>
          </w:p>
        </w:tc>
        <w:tc>
          <w:tcPr>
            <w:tcW w:type="dxa" w:w="4680"/>
            <w:shd w:fill="F2F2F2" w:color="auto" w:val="clear"/>
          </w:tcPr>
          <w:p>
            <w:pPr>
              <w:spacing w:after="40" w:before="40"/>
            </w:pPr>
            <w:r>
              <w:rPr>
                <w:color w:val="2B579A"/>
                <w:sz w:val="22"/>
                <w:szCs w:val="22"/>
                <w:u w:val="single"/>
              </w:rPr>
              <w:t xml:space="preserve">UpdateInformationChatPanel.jsx</w:t>
            </w:r>
          </w:p>
        </w:tc>
      </w:tr>
      <w:tr>
        <w:trPr>
          <w:tblHeader w:val="false"/>
        </w:trPr>
        <w:tc>
          <w:tcPr>
            <w:tcW w:type="dxa" w:w="4680"/>
            <w:shd w:fill="FFFFFF" w:color="auto" w:val="clear"/>
          </w:tcPr>
          <w:p>
            <w:pPr>
              <w:spacing w:after="40" w:before="40"/>
            </w:pPr>
            <w:r>
              <w:rPr>
                <w:sz w:val="22"/>
                <w:szCs w:val="22"/>
              </w:rPr>
              <w:t xml:space="preserve">Floating calculator chat widget</w:t>
            </w:r>
          </w:p>
        </w:tc>
        <w:tc>
          <w:tcPr>
            <w:tcW w:type="dxa" w:w="4680"/>
            <w:shd w:fill="FFFFFF" w:color="auto" w:val="clear"/>
          </w:tcPr>
          <w:p>
            <w:pPr>
              <w:spacing w:after="40" w:before="40"/>
            </w:pPr>
            <w:r>
              <w:rPr>
                <w:color w:val="2B579A"/>
                <w:sz w:val="22"/>
                <w:szCs w:val="22"/>
                <w:u w:val="single"/>
              </w:rPr>
              <w:t xml:space="preserve">FamilyLawChat.jsx</w:t>
            </w:r>
          </w:p>
        </w:tc>
      </w:tr>
      <w:tr>
        <w:trPr>
          <w:tblHeader w:val="false"/>
        </w:trPr>
        <w:tc>
          <w:tcPr>
            <w:tcW w:type="dxa" w:w="4680"/>
            <w:shd w:fill="F2F2F2" w:color="auto" w:val="clear"/>
          </w:tcPr>
          <w:p>
            <w:pPr>
              <w:spacing w:after="40" w:before="40"/>
            </w:pPr>
            <w:r>
              <w:rPr>
                <w:sz w:val="22"/>
                <w:szCs w:val="22"/>
              </w:rPr>
              <w:t xml:space="preserve">Shared chat/context styling</w:t>
            </w:r>
          </w:p>
        </w:tc>
        <w:tc>
          <w:tcPr>
            <w:tcW w:type="dxa" w:w="4680"/>
            <w:shd w:fill="F2F2F2" w:color="auto" w:val="clear"/>
          </w:tcPr>
          <w:p>
            <w:pPr>
              <w:spacing w:after="40" w:before="40"/>
            </w:pPr>
            <w:r>
              <w:rPr>
                <w:color w:val="2B579A"/>
                <w:sz w:val="22"/>
                <w:szCs w:val="22"/>
                <w:u w:val="single"/>
              </w:rPr>
              <w:t xml:space="preserve">MatterWorkflow.css</w:t>
            </w:r>
          </w:p>
        </w:tc>
      </w:tr>
      <w:tr>
        <w:trPr>
          <w:tblHeader w:val="false"/>
        </w:trPr>
        <w:tc>
          <w:tcPr>
            <w:tcW w:type="dxa" w:w="4680"/>
            <w:shd w:fill="FFFFFF" w:color="auto" w:val="clear"/>
          </w:tcPr>
          <w:p>
            <w:pPr>
              <w:spacing w:after="40" w:before="40"/>
            </w:pPr>
            <w:r>
              <w:rPr>
                <w:sz w:val="22"/>
                <w:szCs w:val="22"/>
              </w:rPr>
              <w:t xml:space="preserve">Context builder for stored intake</w:t>
            </w:r>
          </w:p>
        </w:tc>
        <w:tc>
          <w:tcPr>
            <w:tcW w:type="dxa" w:w="4680"/>
            <w:shd w:fill="FFFFFF" w:color="auto" w:val="clear"/>
          </w:tcPr>
          <w:p>
            <w:pPr>
              <w:spacing w:after="40" w:before="40"/>
            </w:pPr>
            <w:r>
              <w:rPr>
                <w:color w:val="2B579A"/>
                <w:sz w:val="22"/>
                <w:szCs w:val="22"/>
                <w:u w:val="single"/>
              </w:rPr>
              <w:t xml:space="preserve">matterIntakeContext.js</w:t>
            </w:r>
          </w:p>
        </w:tc>
      </w:tr>
    </w:tbl>
    <w:p>
      <w:pPr>
        <w:spacing w:after="120"/>
      </w:pPr>
    </w:p>
    <w:p>
      <w:pPr>
        <w:pBdr>
          <w:bottom w:val="single" w:color="BFBFBF" w:sz="6"/>
        </w:pBdr>
        <w:spacing w:after="120" w:before="120"/>
      </w:pPr>
    </w:p>
    <w:p>
      <w:pPr>
        <w:pStyle w:val="Heading2"/>
        <w:spacing w:after="120" w:before="240"/>
      </w:pPr>
      <w:r>
        <w:rPr>
          <w:sz w:val="22"/>
          <w:szCs w:val="22"/>
        </w:rPr>
        <w:t xml:space="preserve">Background</w:t>
      </w:r>
    </w:p>
    <w:p>
      <w:pPr>
        <w:spacing w:after="120" w:line="276"/>
      </w:pPr>
      <w:r>
        <w:rPr>
          <w:sz w:val="22"/>
          <w:szCs w:val="22"/>
        </w:rPr>
        <w:t xml:space="preserve">Calculating child support and spousal support in Canada requires accurate interpretation of the Federal Child Support Guidelines (Schedule I), the Spousal Support Advisory Guidelines (SSAG), and each province's full tax and benefit regime. Family-law professionals often spend significant time on manual lookups and iterative tax calculations across complex custody scenarios (separated, shared, split, hybrid) and both SSAG formulas (with and without children).</w:t>
      </w:r>
    </w:p>
    <w:p>
      <w:pPr>
        <w:spacing w:after="120" w:line="276"/>
      </w:pPr>
      <w:r>
        <w:rPr>
          <w:sz w:val="22"/>
          <w:szCs w:val="22"/>
        </w:rPr>
        <w:t xml:space="preserve">The platform currently supports </w:t>
      </w:r>
      <w:r>
        <w:rPr>
          <w:b/>
          <w:bCs/>
          <w:sz w:val="22"/>
          <w:szCs w:val="22"/>
        </w:rPr>
        <w:t xml:space="preserve">Ontario (ON)</w:t>
      </w:r>
      <w:r>
        <w:rPr>
          <w:sz w:val="22"/>
          <w:szCs w:val="22"/>
        </w:rPr>
        <w:t xml:space="preserve">, </w:t>
      </w:r>
      <w:r>
        <w:rPr>
          <w:b/>
          <w:bCs/>
          <w:sz w:val="22"/>
          <w:szCs w:val="22"/>
        </w:rPr>
        <w:t xml:space="preserve">British Columbia (BC)</w:t>
      </w:r>
      <w:r>
        <w:rPr>
          <w:sz w:val="22"/>
          <w:szCs w:val="22"/>
        </w:rPr>
        <w:t xml:space="preserve">, </w:t>
      </w:r>
      <w:r>
        <w:rPr>
          <w:b/>
          <w:bCs/>
          <w:sz w:val="22"/>
          <w:szCs w:val="22"/>
        </w:rPr>
        <w:t xml:space="preserve">Alberta (AB)</w:t>
      </w:r>
      <w:r>
        <w:rPr>
          <w:sz w:val="22"/>
          <w:szCs w:val="22"/>
        </w:rPr>
        <w:t xml:space="preserve">, </w:t>
      </w:r>
      <w:r>
        <w:rPr>
          <w:b/>
          <w:bCs/>
          <w:sz w:val="22"/>
          <w:szCs w:val="22"/>
        </w:rPr>
        <w:t xml:space="preserve">Saskatchewan (SK)</w:t>
      </w:r>
      <w:r>
        <w:rPr>
          <w:sz w:val="22"/>
          <w:szCs w:val="22"/>
        </w:rPr>
        <w:t xml:space="preserve">, and </w:t>
      </w:r>
      <w:r>
        <w:rPr>
          <w:b/>
          <w:bCs/>
          <w:sz w:val="22"/>
          <w:szCs w:val="22"/>
        </w:rPr>
        <w:t xml:space="preserve">Manitoba (MB)</w:t>
      </w:r>
      <w:r>
        <w:rPr>
          <w:sz w:val="22"/>
          <w:szCs w:val="22"/>
        </w:rPr>
        <w:t xml:space="preserve">. The province affects three things: the Schedule I table amounts used for child support lookups, the provincial tax brackets and credits applied by the tax engine, and the provincial benefit programs included in INDI calculations. The child support chat AI is required to ask the user which province the calculation is for before proceeding, and will not default to Ontario — the </w:t>
      </w:r>
      <w:r>
        <w:rPr>
          <w:rFonts w:ascii="Courier New" w:cs="Courier New" w:eastAsia="Courier New" w:hAnsi="Courier New"/>
          <w:sz w:val="20"/>
          <w:szCs w:val="20"/>
          <w:shd w:fill="E8E8E8" w:color="auto" w:val="clear"/>
        </w:rPr>
        <w:t xml:space="preserve">province</w:t>
      </w:r>
      <w:r>
        <w:rPr>
          <w:sz w:val="22"/>
          <w:szCs w:val="22"/>
        </w:rPr>
        <w:t xml:space="preserve"> field must be set to </w:t>
      </w:r>
      <w:r>
        <w:rPr>
          <w:rFonts w:ascii="Courier New" w:cs="Courier New" w:eastAsia="Courier New" w:hAnsi="Courier New"/>
          <w:sz w:val="20"/>
          <w:szCs w:val="20"/>
          <w:shd w:fill="E8E8E8" w:color="auto" w:val="clear"/>
        </w:rPr>
        <w:t xml:space="preserve">"ON"</w:t>
      </w:r>
      <w:r>
        <w:rPr>
          <w:sz w:val="22"/>
          <w:szCs w:val="22"/>
        </w:rPr>
        <w:t xml:space="preserve">, </w:t>
      </w:r>
      <w:r>
        <w:rPr>
          <w:rFonts w:ascii="Courier New" w:cs="Courier New" w:eastAsia="Courier New" w:hAnsi="Courier New"/>
          <w:sz w:val="20"/>
          <w:szCs w:val="20"/>
          <w:shd w:fill="E8E8E8" w:color="auto" w:val="clear"/>
        </w:rPr>
        <w:t xml:space="preserve">"BC"</w:t>
      </w:r>
      <w:r>
        <w:rPr>
          <w:sz w:val="22"/>
          <w:szCs w:val="22"/>
        </w:rPr>
        <w:t xml:space="preserve">, </w:t>
      </w:r>
      <w:r>
        <w:rPr>
          <w:rFonts w:ascii="Courier New" w:cs="Courier New" w:eastAsia="Courier New" w:hAnsi="Courier New"/>
          <w:sz w:val="20"/>
          <w:szCs w:val="20"/>
          <w:shd w:fill="E8E8E8" w:color="auto" w:val="clear"/>
        </w:rPr>
        <w:t xml:space="preserve">"AB"</w:t>
      </w:r>
      <w:r>
        <w:rPr>
          <w:sz w:val="22"/>
          <w:szCs w:val="22"/>
        </w:rPr>
        <w:t xml:space="preserve">, </w:t>
      </w:r>
      <w:r>
        <w:rPr>
          <w:rFonts w:ascii="Courier New" w:cs="Courier New" w:eastAsia="Courier New" w:hAnsi="Courier New"/>
          <w:sz w:val="20"/>
          <w:szCs w:val="20"/>
          <w:shd w:fill="E8E8E8" w:color="auto" w:val="clear"/>
        </w:rPr>
        <w:t xml:space="preserve">"SK"</w:t>
      </w:r>
      <w:r>
        <w:rPr>
          <w:sz w:val="22"/>
          <w:szCs w:val="22"/>
        </w:rPr>
        <w:t xml:space="preserve">, or </w:t>
      </w:r>
      <w:r>
        <w:rPr>
          <w:rFonts w:ascii="Courier New" w:cs="Courier New" w:eastAsia="Courier New" w:hAnsi="Courier New"/>
          <w:sz w:val="20"/>
          <w:szCs w:val="20"/>
          <w:shd w:fill="E8E8E8" w:color="auto" w:val="clear"/>
        </w:rPr>
        <w:t xml:space="preserve">"MB"</w:t>
      </w:r>
      <w:r>
        <w:rPr>
          <w:sz w:val="22"/>
          <w:szCs w:val="22"/>
        </w:rPr>
        <w:t xml:space="preserve">.</w:t>
      </w:r>
    </w:p>
    <w:p>
      <w:pPr>
        <w:spacing w:after="120" w:line="276"/>
      </w:pPr>
      <w:r>
        <w:rPr>
          <w:sz w:val="22"/>
          <w:szCs w:val="22"/>
        </w:rPr>
        <w:t xml:space="preserve">The platform addresses this by combining a child support calculator, a spousal support calculator, a tax calculator, a matter-intake agent, and an update-information agent — all powered by Claude claude-sonnet-4-6 with tool-use support. Users receive accurate monthly and annual child support figures for all custody scenarios, low/mid/high SSAG spousal support ranges with duration, individual net disposable income (INDI) breakdowns, complete tax and benefit calculations, and auto-generated PDF reports. Calculation results and matter data are persisted through the authenticated frontend for legal-professional use.</w:t>
      </w:r>
    </w:p>
    <w:p>
      <w:pPr>
        <w:pBdr>
          <w:bottom w:val="single" w:color="BFBFBF" w:sz="6"/>
        </w:pBdr>
        <w:spacing w:after="120" w:before="120"/>
      </w:pPr>
    </w:p>
    <w:p>
      <w:pPr>
        <w:pStyle w:val="Heading2"/>
        <w:spacing w:after="120" w:before="240"/>
      </w:pPr>
      <w:r>
        <w:rPr>
          <w:sz w:val="22"/>
          <w:szCs w:val="22"/>
        </w:rPr>
        <w:t xml:space="preserve">Technology stack (calculator-specific)</w:t>
      </w:r>
    </w:p>
    <w:p>
      <w:pPr>
        <w:spacing w:after="120" w:line="276"/>
      </w:pPr>
      <w:r>
        <w:rPr>
          <w:sz w:val="22"/>
          <w:szCs w:val="22"/>
        </w:rPr>
        <w:t xml:space="preserve">The full deployment topology is in </w:t>
      </w:r>
      <w:r>
        <w:rPr>
          <w:color w:val="2B579A"/>
          <w:sz w:val="22"/>
          <w:szCs w:val="22"/>
          <w:u w:val="single"/>
        </w:rPr>
        <w:t xml:space="preserve">ARCHITECTURE.md</w:t>
      </w:r>
      <w:r>
        <w:rPr>
          <w:sz w:val="22"/>
          <w:szCs w:val="22"/>
        </w:rPr>
        <w:t xml:space="preserve">. This section covers only the pieces that matter for the calculators.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6E4F0" w:color="auto" w:val="clear"/>
          </w:tcPr>
          <w:p>
            <w:pPr>
              <w:spacing w:after="40" w:before="40"/>
            </w:pPr>
            <w:r>
              <w:rPr>
                <w:sz w:val="22"/>
                <w:szCs w:val="22"/>
              </w:rPr>
              <w:t xml:space="preserve">Layer</w:t>
            </w:r>
          </w:p>
        </w:tc>
        <w:tc>
          <w:tcPr>
            <w:tcW w:type="dxa" w:w="4680"/>
            <w:shd w:fill="D6E4F0" w:color="auto" w:val="clear"/>
          </w:tcPr>
          <w:p>
            <w:pPr>
              <w:spacing w:after="40" w:before="40"/>
            </w:pPr>
            <w:r>
              <w:rPr>
                <w:sz w:val="22"/>
                <w:szCs w:val="22"/>
              </w:rPr>
              <w:t xml:space="preserve">What</w:t>
            </w:r>
          </w:p>
        </w:tc>
      </w:tr>
      <w:tr>
        <w:trPr>
          <w:tblHeader w:val="false"/>
        </w:trPr>
        <w:tc>
          <w:tcPr>
            <w:tcW w:type="dxa" w:w="4680"/>
            <w:shd w:fill="FFFFFF" w:color="auto" w:val="clear"/>
          </w:tcPr>
          <w:p>
            <w:pPr>
              <w:spacing w:after="40" w:before="40"/>
            </w:pPr>
            <w:r>
              <w:rPr>
                <w:b/>
                <w:bCs/>
                <w:sz w:val="22"/>
                <w:szCs w:val="22"/>
              </w:rPr>
              <w:t xml:space="preserve">Frontend</w:t>
            </w:r>
          </w:p>
        </w:tc>
        <w:tc>
          <w:tcPr>
            <w:tcW w:type="dxa" w:w="4680"/>
            <w:shd w:fill="FFFFFF" w:color="auto" w:val="clear"/>
          </w:tcPr>
          <w:p>
            <w:pPr>
              <w:spacing w:after="40" w:before="40"/>
            </w:pPr>
            <w:r>
              <w:rPr>
                <w:sz w:val="22"/>
                <w:szCs w:val="22"/>
              </w:rPr>
              <w:t xml:space="preserve">React + Vite for the authenticated legal-professional interface (matter workflow, intake forms, calculator chat panels). HTML5 / CSS3 / vanilla JavaScript for the standalone calculator form and legacy chat interface. </w:t>
            </w:r>
            <w:r>
              <w:rPr>
                <w:rFonts w:ascii="Courier New" w:cs="Courier New" w:eastAsia="Courier New" w:hAnsi="Courier New"/>
                <w:sz w:val="20"/>
                <w:szCs w:val="20"/>
                <w:shd w:fill="E8E8E8" w:color="auto" w:val="clear"/>
              </w:rPr>
              <w:t xml:space="preserve">marked.js</w:t>
            </w:r>
            <w:r>
              <w:rPr>
                <w:sz w:val="22"/>
                <w:szCs w:val="22"/>
              </w:rPr>
              <w:t xml:space="preserve"> renders AI markdown responses inside chat bubbles as styled HTML.</w:t>
            </w:r>
          </w:p>
        </w:tc>
      </w:tr>
      <w:tr>
        <w:trPr>
          <w:tblHeader w:val="false"/>
        </w:trPr>
        <w:tc>
          <w:tcPr>
            <w:tcW w:type="dxa" w:w="4680"/>
            <w:shd w:fill="F2F2F2" w:color="auto" w:val="clear"/>
          </w:tcPr>
          <w:p>
            <w:pPr>
              <w:spacing w:after="40" w:before="40"/>
            </w:pPr>
            <w:r>
              <w:rPr>
                <w:b/>
                <w:bCs/>
                <w:sz w:val="22"/>
                <w:szCs w:val="22"/>
              </w:rPr>
              <w:t xml:space="preserve">Backend</w:t>
            </w:r>
          </w:p>
        </w:tc>
        <w:tc>
          <w:tcPr>
            <w:tcW w:type="dxa" w:w="4680"/>
            <w:shd w:fill="F2F2F2" w:color="auto" w:val="clear"/>
          </w:tcPr>
          <w:p>
            <w:pPr>
              <w:spacing w:after="40" w:before="40"/>
            </w:pPr>
            <w:r>
              <w:rPr>
                <w:sz w:val="22"/>
                <w:szCs w:val="22"/>
              </w:rPr>
              <w:t xml:space="preserve">Python 3 / Flask handling all calculation endpoints (</w:t>
            </w:r>
            <w:r>
              <w:rPr>
                <w:rFonts w:ascii="Courier New" w:cs="Courier New" w:eastAsia="Courier New" w:hAnsi="Courier New"/>
                <w:sz w:val="20"/>
                <w:szCs w:val="20"/>
                <w:shd w:fill="E8E8E8" w:color="auto" w:val="clear"/>
              </w:rPr>
              <w:t xml:space="preserve">/calculate</w:t>
            </w:r>
            <w:r>
              <w:rPr>
                <w:sz w:val="22"/>
                <w:szCs w:val="22"/>
              </w:rPr>
              <w:t xml:space="preserve">, </w:t>
            </w:r>
            <w:r>
              <w:rPr>
                <w:rFonts w:ascii="Courier New" w:cs="Courier New" w:eastAsia="Courier New" w:hAnsi="Courier New"/>
                <w:sz w:val="20"/>
                <w:szCs w:val="20"/>
                <w:shd w:fill="E8E8E8" w:color="auto" w:val="clear"/>
              </w:rPr>
              <w:t xml:space="preserve">/chat</w:t>
            </w:r>
            <w:r>
              <w:rPr>
                <w:sz w:val="22"/>
                <w:szCs w:val="22"/>
              </w:rPr>
              <w:t xml:space="preserve">, </w:t>
            </w:r>
            <w:r>
              <w:rPr>
                <w:rFonts w:ascii="Courier New" w:cs="Courier New" w:eastAsia="Courier New" w:hAnsi="Courier New"/>
                <w:sz w:val="20"/>
                <w:szCs w:val="20"/>
                <w:shd w:fill="E8E8E8" w:color="auto" w:val="clear"/>
              </w:rPr>
              <w:t xml:space="preserve">/spousal-calculate</w:t>
            </w:r>
            <w:r>
              <w:rPr>
                <w:sz w:val="22"/>
                <w:szCs w:val="22"/>
              </w:rPr>
              <w:t xml:space="preserve">, </w:t>
            </w:r>
            <w:r>
              <w:rPr>
                <w:rFonts w:ascii="Courier New" w:cs="Courier New" w:eastAsia="Courier New" w:hAnsi="Courier New"/>
                <w:sz w:val="20"/>
                <w:szCs w:val="20"/>
                <w:shd w:fill="E8E8E8" w:color="auto" w:val="clear"/>
              </w:rPr>
              <w:t xml:space="preserve">/spousal-chat</w:t>
            </w:r>
            <w:r>
              <w:rPr>
                <w:sz w:val="22"/>
                <w:szCs w:val="22"/>
              </w:rPr>
              <w:t xml:space="preserve">, </w:t>
            </w:r>
            <w:r>
              <w:rPr>
                <w:rFonts w:ascii="Courier New" w:cs="Courier New" w:eastAsia="Courier New" w:hAnsi="Courier New"/>
                <w:sz w:val="20"/>
                <w:szCs w:val="20"/>
                <w:shd w:fill="E8E8E8" w:color="auto" w:val="clear"/>
              </w:rPr>
              <w:t xml:space="preserve">/intake-chat</w:t>
            </w:r>
            <w:r>
              <w:rPr>
                <w:sz w:val="22"/>
                <w:szCs w:val="22"/>
              </w:rPr>
              <w:t xml:space="preserve">, </w:t>
            </w:r>
            <w:r>
              <w:rPr>
                <w:rFonts w:ascii="Courier New" w:cs="Courier New" w:eastAsia="Courier New" w:hAnsi="Courier New"/>
                <w:sz w:val="20"/>
                <w:szCs w:val="20"/>
                <w:shd w:fill="E8E8E8" w:color="auto" w:val="clear"/>
              </w:rPr>
              <w:t xml:space="preserve">/update-chat</w:t>
            </w:r>
            <w:r>
              <w:rPr>
                <w:sz w:val="22"/>
                <w:szCs w:val="22"/>
              </w:rPr>
              <w:t xml:space="preserve">, </w:t>
            </w:r>
            <w:r>
              <w:rPr>
                <w:rFonts w:ascii="Courier New" w:cs="Courier New" w:eastAsia="Courier New" w:hAnsi="Courier New"/>
                <w:sz w:val="20"/>
                <w:szCs w:val="20"/>
                <w:shd w:fill="E8E8E8" w:color="auto" w:val="clear"/>
              </w:rPr>
              <w:t xml:space="preserve">/tax-chat</w:t>
            </w:r>
            <w:r>
              <w:rPr>
                <w:sz w:val="22"/>
                <w:szCs w:val="22"/>
              </w:rPr>
              <w:t xml:space="preserve">, </w:t>
            </w:r>
            <w:r>
              <w:rPr>
                <w:rFonts w:ascii="Courier New" w:cs="Courier New" w:eastAsia="Courier New" w:hAnsi="Courier New"/>
                <w:sz w:val="20"/>
                <w:szCs w:val="20"/>
                <w:shd w:fill="E8E8E8" w:color="auto" w:val="clear"/>
              </w:rPr>
              <w:t xml:space="preserve">/t1-extract</w:t>
            </w:r>
            <w:r>
              <w:rPr>
                <w:sz w:val="22"/>
                <w:szCs w:val="22"/>
              </w:rPr>
              <w:t xml:space="preserve">) plus AI agent loops and PDF generation. The Anthropic Python SDK interfaces with Claude claude-sonnet-4-6 for every AI chat assistant with tool-use support.</w:t>
            </w:r>
          </w:p>
        </w:tc>
      </w:tr>
      <w:tr>
        <w:trPr>
          <w:tblHeader w:val="false"/>
        </w:trPr>
        <w:tc>
          <w:tcPr>
            <w:tcW w:type="dxa" w:w="4680"/>
            <w:shd w:fill="FFFFFF" w:color="auto" w:val="clear"/>
          </w:tcPr>
          <w:p>
            <w:pPr>
              <w:spacing w:after="40" w:before="40"/>
            </w:pPr>
            <w:r>
              <w:rPr>
                <w:b/>
                <w:bCs/>
                <w:sz w:val="22"/>
                <w:szCs w:val="22"/>
              </w:rPr>
              <w:t xml:space="preserve">Child support engine</w:t>
            </w:r>
          </w:p>
        </w:tc>
        <w:tc>
          <w:tcPr>
            <w:tcW w:type="dxa" w:w="4680"/>
            <w:shd w:fill="FFFFFF" w:color="auto" w:val="clear"/>
          </w:tcPr>
          <w:p>
            <w:pPr>
              <w:spacing w:after="40" w:before="40"/>
            </w:pPr>
            <w:r>
              <w:rPr>
                <w:color w:val="2B579A"/>
                <w:sz w:val="22"/>
                <w:szCs w:val="22"/>
                <w:u w:val="single"/>
              </w:rPr>
              <w:t xml:space="preserve">child_support.py</w:t>
            </w:r>
            <w:r>
              <w:rPr>
                <w:sz w:val="22"/>
                <w:szCs w:val="22"/>
              </w:rPr>
              <w:t xml:space="preserve"> implements the Federal Child Support Guidelines for all four custody scenarios. Province-aware: each party carries a </w:t>
            </w:r>
            <w:r>
              <w:rPr>
                <w:rFonts w:ascii="Courier New" w:cs="Courier New" w:eastAsia="Courier New" w:hAnsi="Courier New"/>
                <w:sz w:val="20"/>
                <w:szCs w:val="20"/>
                <w:shd w:fill="E8E8E8" w:color="auto" w:val="clear"/>
              </w:rPr>
              <w:t xml:space="preserve">province</w:t>
            </w:r>
            <w:r>
              <w:rPr>
                <w:sz w:val="22"/>
                <w:szCs w:val="22"/>
              </w:rPr>
              <w:t xml:space="preserve"> field (</w:t>
            </w:r>
            <w:r>
              <w:rPr>
                <w:rFonts w:ascii="Courier New" w:cs="Courier New" w:eastAsia="Courier New" w:hAnsi="Courier New"/>
                <w:sz w:val="20"/>
                <w:szCs w:val="20"/>
                <w:shd w:fill="E8E8E8" w:color="auto" w:val="clear"/>
              </w:rPr>
              <w:t xml:space="preserve">"ON"</w:t>
            </w:r>
            <w:r>
              <w:rPr>
                <w:sz w:val="22"/>
                <w:szCs w:val="22"/>
              </w:rPr>
              <w:t xml:space="preserve">, </w:t>
            </w:r>
            <w:r>
              <w:rPr>
                <w:rFonts w:ascii="Courier New" w:cs="Courier New" w:eastAsia="Courier New" w:hAnsi="Courier New"/>
                <w:sz w:val="20"/>
                <w:szCs w:val="20"/>
                <w:shd w:fill="E8E8E8" w:color="auto" w:val="clear"/>
              </w:rPr>
              <w:t xml:space="preserve">"BC"</w:t>
            </w:r>
            <w:r>
              <w:rPr>
                <w:sz w:val="22"/>
                <w:szCs w:val="22"/>
              </w:rPr>
              <w:t xml:space="preserve">, </w:t>
            </w:r>
            <w:r>
              <w:rPr>
                <w:rFonts w:ascii="Courier New" w:cs="Courier New" w:eastAsia="Courier New" w:hAnsi="Courier New"/>
                <w:sz w:val="20"/>
                <w:szCs w:val="20"/>
                <w:shd w:fill="E8E8E8" w:color="auto" w:val="clear"/>
              </w:rPr>
              <w:t xml:space="preserve">"AB"</w:t>
            </w:r>
            <w:r>
              <w:rPr>
                <w:sz w:val="22"/>
                <w:szCs w:val="22"/>
              </w:rPr>
              <w:t xml:space="preserve">, </w:t>
            </w:r>
            <w:r>
              <w:rPr>
                <w:rFonts w:ascii="Courier New" w:cs="Courier New" w:eastAsia="Courier New" w:hAnsi="Courier New"/>
                <w:sz w:val="20"/>
                <w:szCs w:val="20"/>
                <w:shd w:fill="E8E8E8" w:color="auto" w:val="clear"/>
              </w:rPr>
              <w:t xml:space="preserve">"SK"</w:t>
            </w:r>
            <w:r>
              <w:rPr>
                <w:sz w:val="22"/>
                <w:szCs w:val="22"/>
              </w:rPr>
              <w:t xml:space="preserve">, or </w:t>
            </w:r>
            <w:r>
              <w:rPr>
                <w:rFonts w:ascii="Courier New" w:cs="Courier New" w:eastAsia="Courier New" w:hAnsi="Courier New"/>
                <w:sz w:val="20"/>
                <w:szCs w:val="20"/>
                <w:shd w:fill="E8E8E8" w:color="auto" w:val="clear"/>
              </w:rPr>
              <w:t xml:space="preserve">"MB"</w:t>
            </w:r>
            <w:r>
              <w:rPr>
                <w:sz w:val="22"/>
                <w:szCs w:val="22"/>
              </w:rPr>
              <w:t xml:space="preserve">) that selects the correct Schedule I rows.</w:t>
            </w:r>
          </w:p>
        </w:tc>
      </w:tr>
      <w:tr>
        <w:trPr>
          <w:tblHeader w:val="false"/>
        </w:trPr>
        <w:tc>
          <w:tcPr>
            <w:tcW w:type="dxa" w:w="4680"/>
            <w:shd w:fill="F2F2F2" w:color="auto" w:val="clear"/>
          </w:tcPr>
          <w:p>
            <w:pPr>
              <w:spacing w:after="40" w:before="40"/>
            </w:pPr>
            <w:r>
              <w:rPr>
                <w:b/>
                <w:bCs/>
                <w:sz w:val="22"/>
                <w:szCs w:val="22"/>
              </w:rPr>
              <w:t xml:space="preserve">Spousal support engine</w:t>
            </w:r>
          </w:p>
        </w:tc>
        <w:tc>
          <w:tcPr>
            <w:tcW w:type="dxa" w:w="4680"/>
            <w:shd w:fill="F2F2F2" w:color="auto" w:val="clear"/>
          </w:tcPr>
          <w:p>
            <w:pPr>
              <w:spacing w:after="40" w:before="40"/>
            </w:pPr>
            <w:r>
              <w:rPr>
                <w:color w:val="2B579A"/>
                <w:sz w:val="22"/>
                <w:szCs w:val="22"/>
                <w:u w:val="single"/>
              </w:rPr>
              <w:t xml:space="preserve">spousal_support.py</w:t>
            </w:r>
            <w:r>
              <w:rPr>
                <w:sz w:val="22"/>
                <w:szCs w:val="22"/>
              </w:rPr>
              <w:t xml:space="preserve"> provides three APIs: a without-children percentage formula (1.5% / 1.75% / 2.0% × gross income difference × years), a with-children iterative tax-converging formula (damped fixed-point iteration calling the tax engine per step), and a wrapper that routes to the appropriate formula. Accepts a </w:t>
            </w:r>
            <w:r>
              <w:rPr>
                <w:rFonts w:ascii="Courier New" w:cs="Courier New" w:eastAsia="Courier New" w:hAnsi="Courier New"/>
                <w:sz w:val="20"/>
                <w:szCs w:val="20"/>
                <w:shd w:fill="E8E8E8" w:color="auto" w:val="clear"/>
              </w:rPr>
              <w:t xml:space="preserve">province</w:t>
            </w:r>
            <w:r>
              <w:rPr>
                <w:sz w:val="22"/>
                <w:szCs w:val="22"/>
              </w:rPr>
              <w:t xml:space="preserve"> parameter (defaults to </w:t>
            </w:r>
            <w:r>
              <w:rPr>
                <w:rFonts w:ascii="Courier New" w:cs="Courier New" w:eastAsia="Courier New" w:hAnsi="Courier New"/>
                <w:sz w:val="20"/>
                <w:szCs w:val="20"/>
                <w:shd w:fill="E8E8E8" w:color="auto" w:val="clear"/>
              </w:rPr>
              <w:t xml:space="preserve">"ON"</w:t>
            </w:r>
            <w:r>
              <w:rPr>
                <w:sz w:val="22"/>
                <w:szCs w:val="22"/>
              </w:rPr>
              <w:t xml:space="preserve">) that is forwarded to the tax engine so provincial taxes converge correctly for any supported province.</w:t>
            </w:r>
          </w:p>
        </w:tc>
      </w:tr>
      <w:tr>
        <w:trPr>
          <w:tblHeader w:val="false"/>
        </w:trPr>
        <w:tc>
          <w:tcPr>
            <w:tcW w:type="dxa" w:w="4680"/>
            <w:shd w:fill="FFFFFF" w:color="auto" w:val="clear"/>
          </w:tcPr>
          <w:p>
            <w:pPr>
              <w:spacing w:after="40" w:before="40"/>
            </w:pPr>
            <w:r>
              <w:rPr>
                <w:b/>
                <w:bCs/>
                <w:sz w:val="22"/>
                <w:szCs w:val="22"/>
              </w:rPr>
              <w:t xml:space="preserve">Tax engine</w:t>
            </w:r>
          </w:p>
        </w:tc>
        <w:tc>
          <w:tcPr>
            <w:tcW w:type="dxa" w:w="4680"/>
            <w:shd w:fill="FFFFFF" w:color="auto" w:val="clear"/>
          </w:tcPr>
          <w:p>
            <w:pPr>
              <w:spacing w:after="40" w:before="40"/>
            </w:pPr>
            <w:r>
              <w:rPr>
                <w:color w:val="2B579A"/>
                <w:sz w:val="22"/>
                <w:szCs w:val="22"/>
                <w:u w:val="single"/>
              </w:rPr>
              <w:t xml:space="preserve">tax.py</w:t>
            </w:r>
            <w:r>
              <w:rPr>
                <w:sz w:val="22"/>
                <w:szCs w:val="22"/>
              </w:rPr>
              <w:t xml:space="preserve"> — full Canadian income-tax and benefits calculator supporting Ontario, British Columbia, Alberta, Saskatchewan, and Manitoba. Year-variable constants (bracket tables, indexed amounts) are stored in </w:t>
            </w:r>
            <w:r>
              <w:rPr>
                <w:color w:val="2B579A"/>
                <w:sz w:val="22"/>
                <w:szCs w:val="22"/>
                <w:u w:val="single"/>
              </w:rPr>
              <w:t xml:space="preserve">tax_constants.json</w:t>
            </w:r>
            <w:r>
              <w:rPr>
                <w:sz w:val="22"/>
                <w:szCs w:val="22"/>
              </w:rPr>
              <w:t xml:space="preserve">. </w:t>
            </w:r>
            <w:r>
              <w:rPr>
                <w:b/>
                <w:bCs/>
                <w:sz w:val="22"/>
                <w:szCs w:val="22"/>
              </w:rPr>
              <w:t xml:space="preserve">Ontario-specific:</w:t>
            </w:r>
            <w:r>
              <w:rPr>
                <w:sz w:val="22"/>
                <w:szCs w:val="22"/>
              </w:rPr>
              <w:t xml:space="preserve"> provincial income tax, surtax, Ontario health premium, LIFT credit, Ontario Child Benefit (OCB), Ontario Sales Tax Credit (OSTC). </w:t>
            </w:r>
            <w:r>
              <w:rPr>
                <w:b/>
                <w:bCs/>
                <w:sz w:val="22"/>
                <w:szCs w:val="22"/>
              </w:rPr>
              <w:t xml:space="preserve">BC-specific:</w:t>
            </w:r>
            <w:r>
              <w:rPr>
                <w:sz w:val="22"/>
                <w:szCs w:val="22"/>
              </w:rPr>
              <w:t xml:space="preserve"> provincial income tax with BC tax reduction, BC Child Benefit, BC Climate Action Tax Credit, BC-specific CWB thresholds. </w:t>
            </w:r>
            <w:r>
              <w:rPr>
                <w:b/>
                <w:bCs/>
                <w:sz w:val="22"/>
                <w:szCs w:val="22"/>
              </w:rPr>
              <w:t xml:space="preserve">Alberta-specific:</w:t>
            </w:r>
            <w:r>
              <w:rPr>
                <w:sz w:val="22"/>
                <w:szCs w:val="22"/>
              </w:rPr>
              <w:t xml:space="preserve"> provincial income tax (8% credit rate, no surtax/health premium/LIFT), Alberta Child and Family Benefit (ACFB), AB Climate Action, AB-specific CWB thresholds. </w:t>
            </w:r>
            <w:r>
              <w:rPr>
                <w:b/>
                <w:bCs/>
                <w:sz w:val="22"/>
                <w:szCs w:val="22"/>
              </w:rPr>
              <w:t xml:space="preserve">Saskatchewan-specific:</w:t>
            </w:r>
            <w:r>
              <w:rPr>
                <w:sz w:val="22"/>
                <w:szCs w:val="22"/>
              </w:rPr>
              <w:t xml:space="preserve"> provincial income tax (10.5% credit rate), SK child amount ($7,704/child under 19), SK senior supplement, Saskatchewan Low-Income Tax Credit (SLITC), SK Climate Action. </w:t>
            </w:r>
            <w:r>
              <w:rPr>
                <w:b/>
                <w:bCs/>
                <w:sz w:val="22"/>
                <w:szCs w:val="22"/>
              </w:rPr>
              <w:t xml:space="preserve">Manitoba-specific:</w:t>
            </w:r>
            <w:r>
              <w:rPr>
                <w:sz w:val="22"/>
                <w:szCs w:val="22"/>
              </w:rPr>
              <w:t xml:space="preserve"> provincial income tax (10.8% credit rate), MB BPA phase-out ($200k–$400k), MB Climate Action. </w:t>
            </w:r>
            <w:r>
              <w:rPr>
                <w:b/>
                <w:bCs/>
                <w:sz w:val="22"/>
                <w:szCs w:val="22"/>
              </w:rPr>
              <w:t xml:space="preserve">Shared federal:</w:t>
            </w:r>
            <w:r>
              <w:rPr>
                <w:sz w:val="22"/>
                <w:szCs w:val="22"/>
              </w:rPr>
              <w:t xml:space="preserve"> income tax, CPP/EI, Canada Workers Benefit (CWB), Canada Child Benefit (CCB), GST/HST credit, Climate Action Incentive Payment (CAIP). See </w:t>
            </w:r>
            <w:r>
              <w:rPr>
                <w:color w:val="2B579A"/>
                <w:sz w:val="22"/>
                <w:szCs w:val="22"/>
                <w:u w:val="single"/>
              </w:rPr>
              <w:t xml:space="preserve">TAXES.md</w:t>
            </w:r>
            <w:r>
              <w:rPr>
                <w:sz w:val="22"/>
                <w:szCs w:val="22"/>
              </w:rPr>
              <w:t xml:space="preserve"> for full details.</w:t>
            </w:r>
          </w:p>
        </w:tc>
      </w:tr>
      <w:tr>
        <w:trPr>
          <w:tblHeader w:val="false"/>
        </w:trPr>
        <w:tc>
          <w:tcPr>
            <w:tcW w:type="dxa" w:w="4680"/>
            <w:shd w:fill="F2F2F2" w:color="auto" w:val="clear"/>
          </w:tcPr>
          <w:p>
            <w:pPr>
              <w:spacing w:after="40" w:before="40"/>
            </w:pPr>
            <w:r>
              <w:rPr>
                <w:b/>
                <w:bCs/>
                <w:sz w:val="22"/>
                <w:szCs w:val="22"/>
              </w:rPr>
              <w:t xml:space="preserve">Data</w:t>
            </w:r>
          </w:p>
        </w:tc>
        <w:tc>
          <w:tcPr>
            <w:tcW w:type="dxa" w:w="4680"/>
            <w:shd w:fill="F2F2F2" w:color="auto" w:val="clear"/>
          </w:tcPr>
          <w:p>
            <w:pPr>
              <w:spacing w:after="40" w:before="40"/>
            </w:pPr>
            <w:r>
              <w:rPr>
                <w:color w:val="2B579A"/>
                <w:sz w:val="22"/>
                <w:szCs w:val="22"/>
                <w:u w:val="single"/>
              </w:rPr>
              <w:t xml:space="preserve">schedule_i.json</w:t>
            </w:r>
            <w:r>
              <w:rPr>
                <w:sz w:val="22"/>
                <w:szCs w:val="22"/>
              </w:rPr>
              <w:t xml:space="preserve"> (2025 Federal Child Support Guidelines Schedule I table for ON, BC, AB, SK, and MB — 4020 rows, 804 per province, keyed by </w:t>
            </w:r>
            <w:r>
              <w:rPr>
                <w:rFonts w:ascii="Courier New" w:cs="Courier New" w:eastAsia="Courier New" w:hAnsi="Courier New"/>
                <w:sz w:val="20"/>
                <w:szCs w:val="20"/>
                <w:shd w:fill="E8E8E8" w:color="auto" w:val="clear"/>
              </w:rPr>
              <w:t xml:space="preserve">province</w:t>
            </w:r>
            <w:r>
              <w:rPr>
                <w:sz w:val="22"/>
                <w:szCs w:val="22"/>
              </w:rPr>
              <w:t xml:space="preserve">). </w:t>
            </w:r>
            <w:r>
              <w:rPr>
                <w:color w:val="2B579A"/>
                <w:sz w:val="22"/>
                <w:szCs w:val="22"/>
                <w:u w:val="single"/>
              </w:rPr>
              <w:t xml:space="preserve">tax_constants.json</w:t>
            </w:r>
            <w:r>
              <w:rPr>
                <w:sz w:val="22"/>
                <w:szCs w:val="22"/>
              </w:rPr>
              <w:t xml:space="preserve"> (year-keyed tax brackets and indexed amounts for all five provinces). Prisma / PostgreSQL (auth server and matter database, separate service). No persistent user data in the calculator backend — all session data is in-memory; persisted data flows through the authenticated frontend into the auth-server database.</w:t>
            </w:r>
          </w:p>
        </w:tc>
      </w:tr>
      <w:tr>
        <w:trPr>
          <w:tblHeader w:val="false"/>
        </w:trPr>
        <w:tc>
          <w:tcPr>
            <w:tcW w:type="dxa" w:w="4680"/>
            <w:shd w:fill="FFFFFF" w:color="auto" w:val="clear"/>
          </w:tcPr>
          <w:p>
            <w:pPr>
              <w:spacing w:after="40" w:before="40"/>
            </w:pPr>
            <w:r>
              <w:rPr>
                <w:b/>
                <w:bCs/>
                <w:sz w:val="22"/>
                <w:szCs w:val="22"/>
              </w:rPr>
              <w:t xml:space="preserve">PDF generation</w:t>
            </w:r>
          </w:p>
        </w:tc>
        <w:tc>
          <w:tcPr>
            <w:tcW w:type="dxa" w:w="4680"/>
            <w:shd w:fill="FFFFFF" w:color="auto" w:val="clear"/>
          </w:tcPr>
          <w:p>
            <w:pPr>
              <w:spacing w:after="40" w:before="40"/>
            </w:pPr>
            <w:r>
              <w:rPr>
                <w:sz w:val="22"/>
                <w:szCs w:val="22"/>
              </w:rPr>
              <w:t xml:space="preserve">ReportLab produces PDF reports for child and spousal support results.</w:t>
            </w:r>
          </w:p>
        </w:tc>
      </w:tr>
      <w:tr>
        <w:trPr>
          <w:tblHeader w:val="false"/>
        </w:trPr>
        <w:tc>
          <w:tcPr>
            <w:tcW w:type="dxa" w:w="4680"/>
            <w:shd w:fill="F2F2F2" w:color="auto" w:val="clear"/>
          </w:tcPr>
          <w:p>
            <w:pPr>
              <w:spacing w:after="40" w:before="40"/>
            </w:pPr>
            <w:r>
              <w:rPr>
                <w:b/>
                <w:bCs/>
                <w:sz w:val="22"/>
                <w:szCs w:val="22"/>
              </w:rPr>
              <w:t xml:space="preserve">Hosting</w:t>
            </w:r>
          </w:p>
        </w:tc>
        <w:tc>
          <w:tcPr>
            <w:tcW w:type="dxa" w:w="4680"/>
            <w:shd w:fill="F2F2F2" w:color="auto" w:val="clear"/>
          </w:tcPr>
          <w:p>
            <w:pPr>
              <w:spacing w:after="40" w:before="40"/>
            </w:pPr>
            <w:r>
              <w:rPr>
                <w:sz w:val="22"/>
                <w:szCs w:val="22"/>
              </w:rPr>
              <w:t xml:space="preserve">Render.com for the Flask backend; Vercel for the React frontend. See </w:t>
            </w:r>
            <w:r>
              <w:rPr>
                <w:color w:val="2B579A"/>
                <w:sz w:val="22"/>
                <w:szCs w:val="22"/>
                <w:u w:val="single"/>
              </w:rPr>
              <w:t xml:space="preserve">ARCHITECTURE.md</w:t>
            </w:r>
            <w:r>
              <w:rPr>
                <w:sz w:val="22"/>
                <w:szCs w:val="22"/>
              </w:rPr>
              <w:t xml:space="preserve"> for details.</w:t>
            </w:r>
          </w:p>
        </w:tc>
      </w:tr>
    </w:tbl>
    <w:p>
      <w:pPr>
        <w:spacing w:after="120"/>
      </w:pPr>
    </w:p>
    <w:p>
      <w:pPr>
        <w:pBdr>
          <w:bottom w:val="single" w:color="BFBFBF" w:sz="6"/>
        </w:pBdr>
        <w:spacing w:after="120" w:before="120"/>
      </w:pPr>
    </w:p>
    <w:p>
      <w:pPr>
        <w:pStyle w:val="Heading2"/>
        <w:spacing w:after="120" w:before="240"/>
      </w:pPr>
      <w:r>
        <w:rPr>
          <w:sz w:val="22"/>
          <w:szCs w:val="22"/>
        </w:rPr>
        <w:t xml:space="preserve">Province support</w:t>
      </w:r>
    </w:p>
    <w:p>
      <w:pPr>
        <w:spacing w:after="120" w:line="276"/>
      </w:pPr>
      <w:r>
        <w:rPr>
          <w:sz w:val="22"/>
          <w:szCs w:val="22"/>
        </w:rPr>
        <w:t xml:space="preserve">The platform currently supports five provinces. Adding a new province requires data additions and corresponding code in the tax engine. See </w:t>
      </w:r>
      <w:r>
        <w:rPr>
          <w:color w:val="2B579A"/>
          <w:sz w:val="22"/>
          <w:szCs w:val="22"/>
          <w:u w:val="single"/>
        </w:rPr>
        <w:t xml:space="preserve">TAXES.md</w:t>
      </w:r>
      <w:r>
        <w:rPr>
          <w:sz w:val="22"/>
          <w:szCs w:val="22"/>
        </w:rPr>
        <w:t xml:space="preserve"> for the full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D6E4F0" w:color="auto" w:val="clear"/>
          </w:tcPr>
          <w:p>
            <w:pPr>
              <w:spacing w:after="40" w:before="40"/>
            </w:pPr>
            <w:r>
              <w:rPr>
                <w:sz w:val="22"/>
                <w:szCs w:val="22"/>
              </w:rPr>
              <w:t xml:space="preserve">Component</w:t>
            </w:r>
          </w:p>
        </w:tc>
        <w:tc>
          <w:tcPr>
            <w:tcW w:type="dxa" w:w="1560"/>
            <w:shd w:fill="D6E4F0" w:color="auto" w:val="clear"/>
          </w:tcPr>
          <w:p>
            <w:pPr>
              <w:spacing w:after="40" w:before="40"/>
            </w:pPr>
            <w:r>
              <w:rPr>
                <w:sz w:val="22"/>
                <w:szCs w:val="22"/>
              </w:rPr>
              <w:t xml:space="preserve">Ontario (ON)</w:t>
            </w:r>
          </w:p>
        </w:tc>
        <w:tc>
          <w:tcPr>
            <w:tcW w:type="dxa" w:w="1560"/>
            <w:shd w:fill="D6E4F0" w:color="auto" w:val="clear"/>
          </w:tcPr>
          <w:p>
            <w:pPr>
              <w:spacing w:after="40" w:before="40"/>
            </w:pPr>
            <w:r>
              <w:rPr>
                <w:sz w:val="22"/>
                <w:szCs w:val="22"/>
              </w:rPr>
              <w:t xml:space="preserve">British Columbia (BC)</w:t>
            </w:r>
          </w:p>
        </w:tc>
        <w:tc>
          <w:tcPr>
            <w:tcW w:type="dxa" w:w="1560"/>
            <w:shd w:fill="D6E4F0" w:color="auto" w:val="clear"/>
          </w:tcPr>
          <w:p>
            <w:pPr>
              <w:spacing w:after="40" w:before="40"/>
            </w:pPr>
            <w:r>
              <w:rPr>
                <w:sz w:val="22"/>
                <w:szCs w:val="22"/>
              </w:rPr>
              <w:t xml:space="preserve">Alberta (AB)</w:t>
            </w:r>
          </w:p>
        </w:tc>
        <w:tc>
          <w:tcPr>
            <w:tcW w:type="dxa" w:w="1560"/>
            <w:shd w:fill="D6E4F0" w:color="auto" w:val="clear"/>
          </w:tcPr>
          <w:p>
            <w:pPr>
              <w:spacing w:after="40" w:before="40"/>
            </w:pPr>
            <w:r>
              <w:rPr>
                <w:sz w:val="22"/>
                <w:szCs w:val="22"/>
              </w:rPr>
              <w:t xml:space="preserve">Saskatchewan (SK)</w:t>
            </w:r>
          </w:p>
        </w:tc>
        <w:tc>
          <w:tcPr>
            <w:tcW w:type="dxa" w:w="1560"/>
            <w:shd w:fill="D6E4F0" w:color="auto" w:val="clear"/>
          </w:tcPr>
          <w:p>
            <w:pPr>
              <w:spacing w:after="40" w:before="40"/>
            </w:pPr>
            <w:r>
              <w:rPr>
                <w:sz w:val="22"/>
                <w:szCs w:val="22"/>
              </w:rPr>
              <w:t xml:space="preserve">Manitoba (MB)</w:t>
            </w:r>
          </w:p>
        </w:tc>
      </w:tr>
      <w:tr>
        <w:trPr>
          <w:tblHeader w:val="false"/>
        </w:trPr>
        <w:tc>
          <w:tcPr>
            <w:tcW w:type="dxa" w:w="1560"/>
            <w:shd w:fill="FFFFFF" w:color="auto" w:val="clear"/>
          </w:tcPr>
          <w:p>
            <w:pPr>
              <w:spacing w:after="40" w:before="40"/>
            </w:pPr>
            <w:r>
              <w:rPr>
                <w:b/>
                <w:bCs/>
                <w:sz w:val="22"/>
                <w:szCs w:val="22"/>
              </w:rPr>
              <w:t xml:space="preserve">Schedule I rows</w:t>
            </w:r>
          </w:p>
        </w:tc>
        <w:tc>
          <w:tcPr>
            <w:tcW w:type="dxa" w:w="1560"/>
            <w:shd w:fill="FFFFFF" w:color="auto" w:val="clear"/>
          </w:tcPr>
          <w:p>
            <w:pPr>
              <w:spacing w:after="40" w:before="40"/>
            </w:pPr>
            <w:r>
              <w:rPr>
                <w:rFonts w:ascii="Courier New" w:cs="Courier New" w:eastAsia="Courier New" w:hAnsi="Courier New"/>
                <w:sz w:val="20"/>
                <w:szCs w:val="20"/>
                <w:shd w:fill="E8E8E8" w:color="auto" w:val="clear"/>
              </w:rPr>
              <w:t xml:space="preserve">"province": "ON"</w:t>
            </w:r>
            <w:r>
              <w:rPr>
                <w:sz w:val="22"/>
                <w:szCs w:val="22"/>
              </w:rPr>
              <w:t xml:space="preserve"> (804 rows)</w:t>
            </w:r>
          </w:p>
        </w:tc>
        <w:tc>
          <w:tcPr>
            <w:tcW w:type="dxa" w:w="1560"/>
            <w:shd w:fill="FFFFFF" w:color="auto" w:val="clear"/>
          </w:tcPr>
          <w:p>
            <w:pPr>
              <w:spacing w:after="40" w:before="40"/>
            </w:pPr>
            <w:r>
              <w:rPr>
                <w:rFonts w:ascii="Courier New" w:cs="Courier New" w:eastAsia="Courier New" w:hAnsi="Courier New"/>
                <w:sz w:val="20"/>
                <w:szCs w:val="20"/>
                <w:shd w:fill="E8E8E8" w:color="auto" w:val="clear"/>
              </w:rPr>
              <w:t xml:space="preserve">"province": "BC"</w:t>
            </w:r>
            <w:r>
              <w:rPr>
                <w:sz w:val="22"/>
                <w:szCs w:val="22"/>
              </w:rPr>
              <w:t xml:space="preserve"> (804 rows)</w:t>
            </w:r>
          </w:p>
        </w:tc>
        <w:tc>
          <w:tcPr>
            <w:tcW w:type="dxa" w:w="1560"/>
            <w:shd w:fill="FFFFFF" w:color="auto" w:val="clear"/>
          </w:tcPr>
          <w:p>
            <w:pPr>
              <w:spacing w:after="40" w:before="40"/>
            </w:pPr>
            <w:r>
              <w:rPr>
                <w:rFonts w:ascii="Courier New" w:cs="Courier New" w:eastAsia="Courier New" w:hAnsi="Courier New"/>
                <w:sz w:val="20"/>
                <w:szCs w:val="20"/>
                <w:shd w:fill="E8E8E8" w:color="auto" w:val="clear"/>
              </w:rPr>
              <w:t xml:space="preserve">"province": "AB"</w:t>
            </w:r>
            <w:r>
              <w:rPr>
                <w:sz w:val="22"/>
                <w:szCs w:val="22"/>
              </w:rPr>
              <w:t xml:space="preserve"> (804 rows)</w:t>
            </w:r>
          </w:p>
        </w:tc>
        <w:tc>
          <w:tcPr>
            <w:tcW w:type="dxa" w:w="1560"/>
            <w:shd w:fill="FFFFFF" w:color="auto" w:val="clear"/>
          </w:tcPr>
          <w:p>
            <w:pPr>
              <w:spacing w:after="40" w:before="40"/>
            </w:pPr>
            <w:r>
              <w:rPr>
                <w:rFonts w:ascii="Courier New" w:cs="Courier New" w:eastAsia="Courier New" w:hAnsi="Courier New"/>
                <w:sz w:val="20"/>
                <w:szCs w:val="20"/>
                <w:shd w:fill="E8E8E8" w:color="auto" w:val="clear"/>
              </w:rPr>
              <w:t xml:space="preserve">"province": "SK"</w:t>
            </w:r>
            <w:r>
              <w:rPr>
                <w:sz w:val="22"/>
                <w:szCs w:val="22"/>
              </w:rPr>
              <w:t xml:space="preserve"> (804 rows)</w:t>
            </w:r>
          </w:p>
        </w:tc>
        <w:tc>
          <w:tcPr>
            <w:tcW w:type="dxa" w:w="1560"/>
            <w:shd w:fill="FFFFFF" w:color="auto" w:val="clear"/>
          </w:tcPr>
          <w:p>
            <w:pPr>
              <w:spacing w:after="40" w:before="40"/>
            </w:pPr>
            <w:r>
              <w:rPr>
                <w:rFonts w:ascii="Courier New" w:cs="Courier New" w:eastAsia="Courier New" w:hAnsi="Courier New"/>
                <w:sz w:val="20"/>
                <w:szCs w:val="20"/>
                <w:shd w:fill="E8E8E8" w:color="auto" w:val="clear"/>
              </w:rPr>
              <w:t xml:space="preserve">"province": "MB"</w:t>
            </w:r>
            <w:r>
              <w:rPr>
                <w:sz w:val="22"/>
                <w:szCs w:val="22"/>
              </w:rPr>
              <w:t xml:space="preserve"> (804 rows)</w:t>
            </w:r>
          </w:p>
        </w:tc>
      </w:tr>
      <w:tr>
        <w:trPr>
          <w:tblHeader w:val="false"/>
        </w:trPr>
        <w:tc>
          <w:tcPr>
            <w:tcW w:type="dxa" w:w="1560"/>
            <w:shd w:fill="F2F2F2" w:color="auto" w:val="clear"/>
          </w:tcPr>
          <w:p>
            <w:pPr>
              <w:spacing w:after="40" w:before="40"/>
            </w:pPr>
            <w:r>
              <w:rPr>
                <w:b/>
                <w:bCs/>
                <w:sz w:val="22"/>
                <w:szCs w:val="22"/>
              </w:rPr>
              <w:t xml:space="preserve">Tax brackets &amp; credits</w:t>
            </w:r>
          </w:p>
        </w:tc>
        <w:tc>
          <w:tcPr>
            <w:tcW w:type="dxa" w:w="1560"/>
            <w:shd w:fill="F2F2F2" w:color="auto" w:val="clear"/>
          </w:tcPr>
          <w:p>
            <w:pPr>
              <w:spacing w:after="40" w:before="40"/>
            </w:pPr>
            <w:r>
              <w:rPr>
                <w:rFonts w:ascii="Courier New" w:cs="Courier New" w:eastAsia="Courier New" w:hAnsi="Courier New"/>
                <w:sz w:val="20"/>
                <w:szCs w:val="20"/>
                <w:shd w:fill="E8E8E8" w:color="auto" w:val="clear"/>
              </w:rPr>
              <w:t xml:space="preserve">ON_BRACKETS</w:t>
            </w:r>
            <w:r>
              <w:rPr>
                <w:sz w:val="22"/>
                <w:szCs w:val="22"/>
              </w:rPr>
              <w:t xml:space="preserve">, Ontario health premium, surtax, LIFT, OCB, OSTC</w:t>
            </w:r>
          </w:p>
        </w:tc>
        <w:tc>
          <w:tcPr>
            <w:tcW w:type="dxa" w:w="1560"/>
            <w:shd w:fill="F2F2F2" w:color="auto" w:val="clear"/>
          </w:tcPr>
          <w:p>
            <w:pPr>
              <w:spacing w:after="40" w:before="40"/>
            </w:pPr>
            <w:r>
              <w:rPr>
                <w:rFonts w:ascii="Courier New" w:cs="Courier New" w:eastAsia="Courier New" w:hAnsi="Courier New"/>
                <w:sz w:val="20"/>
                <w:szCs w:val="20"/>
                <w:shd w:fill="E8E8E8" w:color="auto" w:val="clear"/>
              </w:rPr>
              <w:t xml:space="preserve">BC_BRACKETS</w:t>
            </w:r>
            <w:r>
              <w:rPr>
                <w:sz w:val="22"/>
                <w:szCs w:val="22"/>
              </w:rPr>
              <w:t xml:space="preserve">, BC tax reduction, BC Child Benefit, BC Climate Action</w:t>
            </w:r>
          </w:p>
        </w:tc>
        <w:tc>
          <w:tcPr>
            <w:tcW w:type="dxa" w:w="1560"/>
            <w:shd w:fill="F2F2F2" w:color="auto" w:val="clear"/>
          </w:tcPr>
          <w:p>
            <w:pPr>
              <w:spacing w:after="40" w:before="40"/>
            </w:pPr>
            <w:r>
              <w:rPr>
                <w:rFonts w:ascii="Courier New" w:cs="Courier New" w:eastAsia="Courier New" w:hAnsi="Courier New"/>
                <w:sz w:val="20"/>
                <w:szCs w:val="20"/>
                <w:shd w:fill="E8E8E8" w:color="auto" w:val="clear"/>
              </w:rPr>
              <w:t xml:space="preserve">AB_BRACKETS</w:t>
            </w:r>
            <w:r>
              <w:rPr>
                <w:sz w:val="22"/>
                <w:szCs w:val="22"/>
              </w:rPr>
              <w:t xml:space="preserve">, ACFB, AB Climate Action, AB-specific CWB</w:t>
            </w:r>
          </w:p>
        </w:tc>
        <w:tc>
          <w:tcPr>
            <w:tcW w:type="dxa" w:w="1560"/>
            <w:shd w:fill="F2F2F2" w:color="auto" w:val="clear"/>
          </w:tcPr>
          <w:p>
            <w:pPr>
              <w:spacing w:after="40" w:before="40"/>
            </w:pPr>
            <w:r>
              <w:rPr>
                <w:rFonts w:ascii="Courier New" w:cs="Courier New" w:eastAsia="Courier New" w:hAnsi="Courier New"/>
                <w:sz w:val="20"/>
                <w:szCs w:val="20"/>
                <w:shd w:fill="E8E8E8" w:color="auto" w:val="clear"/>
              </w:rPr>
              <w:t xml:space="preserve">SK_BRACKETS</w:t>
            </w:r>
            <w:r>
              <w:rPr>
                <w:sz w:val="22"/>
                <w:szCs w:val="22"/>
              </w:rPr>
              <w:t xml:space="preserve">, SK child amount, SLITC, SK Climate Action</w:t>
            </w:r>
          </w:p>
        </w:tc>
        <w:tc>
          <w:tcPr>
            <w:tcW w:type="dxa" w:w="1560"/>
            <w:shd w:fill="F2F2F2" w:color="auto" w:val="clear"/>
          </w:tcPr>
          <w:p>
            <w:pPr>
              <w:spacing w:after="40" w:before="40"/>
            </w:pPr>
            <w:r>
              <w:rPr>
                <w:rFonts w:ascii="Courier New" w:cs="Courier New" w:eastAsia="Courier New" w:hAnsi="Courier New"/>
                <w:sz w:val="20"/>
                <w:szCs w:val="20"/>
                <w:shd w:fill="E8E8E8" w:color="auto" w:val="clear"/>
              </w:rPr>
              <w:t xml:space="preserve">MB_BRACKETS</w:t>
            </w:r>
            <w:r>
              <w:rPr>
                <w:sz w:val="22"/>
                <w:szCs w:val="22"/>
              </w:rPr>
              <w:t xml:space="preserve">, MB BPA phase-out, MB Climate Action</w:t>
            </w:r>
          </w:p>
        </w:tc>
      </w:tr>
      <w:tr>
        <w:trPr>
          <w:tblHeader w:val="false"/>
        </w:trPr>
        <w:tc>
          <w:tcPr>
            <w:tcW w:type="dxa" w:w="1560"/>
            <w:shd w:fill="FFFFFF" w:color="auto" w:val="clear"/>
          </w:tcPr>
          <w:p>
            <w:pPr>
              <w:spacing w:after="40" w:before="40"/>
            </w:pPr>
            <w:r>
              <w:rPr>
                <w:b/>
                <w:bCs/>
                <w:sz w:val="22"/>
                <w:szCs w:val="22"/>
              </w:rPr>
              <w:t xml:space="preserve">Tax engine functions</w:t>
            </w:r>
          </w:p>
        </w:tc>
        <w:tc>
          <w:tcPr>
            <w:tcW w:type="dxa" w:w="1560"/>
            <w:shd w:fill="FFFFFF" w:color="auto" w:val="clear"/>
          </w:tcPr>
          <w:p>
            <w:pPr>
              <w:spacing w:after="40" w:before="40"/>
            </w:pPr>
            <w:r>
              <w:rPr>
                <w:rFonts w:ascii="Courier New" w:cs="Courier New" w:eastAsia="Courier New" w:hAnsi="Courier New"/>
                <w:sz w:val="20"/>
                <w:szCs w:val="20"/>
                <w:shd w:fill="E8E8E8" w:color="auto" w:val="clear"/>
              </w:rPr>
              <w:t xml:space="preserve">calculate_ontario_tax()</w:t>
            </w:r>
            <w:r>
              <w:rPr>
                <w:sz w:val="22"/>
                <w:szCs w:val="22"/>
              </w:rPr>
              <w:t xml:space="preserve">, surtax, health premium, LIFT, OCB, OSTC</w:t>
            </w:r>
          </w:p>
        </w:tc>
        <w:tc>
          <w:tcPr>
            <w:tcW w:type="dxa" w:w="1560"/>
            <w:shd w:fill="FFFFFF" w:color="auto" w:val="clear"/>
          </w:tcPr>
          <w:p>
            <w:pPr>
              <w:spacing w:after="40" w:before="40"/>
            </w:pPr>
            <w:r>
              <w:rPr>
                <w:rFonts w:ascii="Courier New" w:cs="Courier New" w:eastAsia="Courier New" w:hAnsi="Courier New"/>
                <w:sz w:val="20"/>
                <w:szCs w:val="20"/>
                <w:shd w:fill="E8E8E8" w:color="auto" w:val="clear"/>
              </w:rPr>
              <w:t xml:space="preserve">calculate_bc_tax()</w:t>
            </w:r>
            <w:r>
              <w:rPr>
                <w:sz w:val="22"/>
                <w:szCs w:val="22"/>
              </w:rPr>
              <w:t xml:space="preserve">, BC tax reduction, BC child/climate benefits</w:t>
            </w:r>
          </w:p>
        </w:tc>
        <w:tc>
          <w:tcPr>
            <w:tcW w:type="dxa" w:w="1560"/>
            <w:shd w:fill="FFFFFF" w:color="auto" w:val="clear"/>
          </w:tcPr>
          <w:p>
            <w:pPr>
              <w:spacing w:after="40" w:before="40"/>
            </w:pPr>
            <w:r>
              <w:rPr>
                <w:rFonts w:ascii="Courier New" w:cs="Courier New" w:eastAsia="Courier New" w:hAnsi="Courier New"/>
                <w:sz w:val="20"/>
                <w:szCs w:val="20"/>
                <w:shd w:fill="E8E8E8" w:color="auto" w:val="clear"/>
              </w:rPr>
              <w:t xml:space="preserve">calculate_ab_tax()</w:t>
            </w:r>
            <w:r>
              <w:rPr>
                <w:sz w:val="22"/>
                <w:szCs w:val="22"/>
              </w:rPr>
              <w:t xml:space="preserve">, ACFB, AB climate action</w:t>
            </w:r>
          </w:p>
        </w:tc>
        <w:tc>
          <w:tcPr>
            <w:tcW w:type="dxa" w:w="1560"/>
            <w:shd w:fill="FFFFFF" w:color="auto" w:val="clear"/>
          </w:tcPr>
          <w:p>
            <w:pPr>
              <w:spacing w:after="40" w:before="40"/>
            </w:pPr>
            <w:r>
              <w:rPr>
                <w:rFonts w:ascii="Courier New" w:cs="Courier New" w:eastAsia="Courier New" w:hAnsi="Courier New"/>
                <w:sz w:val="20"/>
                <w:szCs w:val="20"/>
                <w:shd w:fill="E8E8E8" w:color="auto" w:val="clear"/>
              </w:rPr>
              <w:t xml:space="preserve">calculate_sk_tax()</w:t>
            </w:r>
            <w:r>
              <w:rPr>
                <w:sz w:val="22"/>
                <w:szCs w:val="22"/>
              </w:rPr>
              <w:t xml:space="preserve">, SLITC, SK climate action</w:t>
            </w:r>
          </w:p>
        </w:tc>
        <w:tc>
          <w:tcPr>
            <w:tcW w:type="dxa" w:w="1560"/>
            <w:shd w:fill="FFFFFF" w:color="auto" w:val="clear"/>
          </w:tcPr>
          <w:p>
            <w:pPr>
              <w:spacing w:after="40" w:before="40"/>
            </w:pPr>
            <w:r>
              <w:rPr>
                <w:rFonts w:ascii="Courier New" w:cs="Courier New" w:eastAsia="Courier New" w:hAnsi="Courier New"/>
                <w:sz w:val="20"/>
                <w:szCs w:val="20"/>
                <w:shd w:fill="E8E8E8" w:color="auto" w:val="clear"/>
              </w:rPr>
              <w:t xml:space="preserve">calculate_mb_tax()</w:t>
            </w:r>
            <w:r>
              <w:rPr>
                <w:sz w:val="22"/>
                <w:szCs w:val="22"/>
              </w:rPr>
              <w:t xml:space="preserve">, MB climate action</w:t>
            </w:r>
          </w:p>
        </w:tc>
      </w:tr>
      <w:tr>
        <w:trPr>
          <w:tblHeader w:val="false"/>
        </w:trPr>
        <w:tc>
          <w:tcPr>
            <w:tcW w:type="dxa" w:w="1560"/>
            <w:shd w:fill="F2F2F2" w:color="auto" w:val="clear"/>
          </w:tcPr>
          <w:p>
            <w:pPr>
              <w:spacing w:after="40" w:before="40"/>
            </w:pPr>
            <w:r>
              <w:rPr>
                <w:b/>
                <w:bCs/>
                <w:sz w:val="22"/>
                <w:szCs w:val="22"/>
              </w:rPr>
              <w:t xml:space="preserve">Child support</w:t>
            </w:r>
          </w:p>
        </w:tc>
        <w:tc>
          <w:tcPr>
            <w:tcW w:type="dxa" w:w="1560"/>
            <w:shd w:fill="F2F2F2" w:color="auto" w:val="clear"/>
          </w:tcPr>
          <w:p>
            <w:pPr>
              <w:spacing w:after="40" w:before="40"/>
            </w:pPr>
            <w:r>
              <w:rPr>
                <w:sz w:val="22"/>
                <w:szCs w:val="22"/>
              </w:rPr>
              <w:t xml:space="preserve">Fully supported</w:t>
            </w:r>
          </w:p>
        </w:tc>
        <w:tc>
          <w:tcPr>
            <w:tcW w:type="dxa" w:w="1560"/>
            <w:shd w:fill="F2F2F2" w:color="auto" w:val="clear"/>
          </w:tcPr>
          <w:p>
            <w:pPr>
              <w:spacing w:after="40" w:before="40"/>
            </w:pPr>
            <w:r>
              <w:rPr>
                <w:sz w:val="22"/>
                <w:szCs w:val="22"/>
              </w:rPr>
              <w:t xml:space="preserve">Fully supported</w:t>
            </w:r>
          </w:p>
        </w:tc>
        <w:tc>
          <w:tcPr>
            <w:tcW w:type="dxa" w:w="1560"/>
            <w:shd w:fill="F2F2F2" w:color="auto" w:val="clear"/>
          </w:tcPr>
          <w:p>
            <w:pPr>
              <w:spacing w:after="40" w:before="40"/>
            </w:pPr>
            <w:r>
              <w:rPr>
                <w:sz w:val="22"/>
                <w:szCs w:val="22"/>
              </w:rPr>
              <w:t xml:space="preserve">Fully supported</w:t>
            </w:r>
          </w:p>
        </w:tc>
        <w:tc>
          <w:tcPr>
            <w:tcW w:type="dxa" w:w="1560"/>
            <w:shd w:fill="F2F2F2" w:color="auto" w:val="clear"/>
          </w:tcPr>
          <w:p>
            <w:pPr>
              <w:spacing w:after="40" w:before="40"/>
            </w:pPr>
            <w:r>
              <w:rPr>
                <w:sz w:val="22"/>
                <w:szCs w:val="22"/>
              </w:rPr>
              <w:t xml:space="preserve">Fully supported</w:t>
            </w:r>
          </w:p>
        </w:tc>
        <w:tc>
          <w:tcPr>
            <w:tcW w:type="dxa" w:w="1560"/>
            <w:shd w:fill="F2F2F2" w:color="auto" w:val="clear"/>
          </w:tcPr>
          <w:p>
            <w:pPr>
              <w:spacing w:after="40" w:before="40"/>
            </w:pPr>
            <w:r>
              <w:rPr>
                <w:sz w:val="22"/>
                <w:szCs w:val="22"/>
              </w:rPr>
              <w:t xml:space="preserve">Fully supported</w:t>
            </w:r>
          </w:p>
        </w:tc>
      </w:tr>
      <w:tr>
        <w:trPr>
          <w:tblHeader w:val="false"/>
        </w:trPr>
        <w:tc>
          <w:tcPr>
            <w:tcW w:type="dxa" w:w="1560"/>
            <w:shd w:fill="FFFFFF" w:color="auto" w:val="clear"/>
          </w:tcPr>
          <w:p>
            <w:pPr>
              <w:spacing w:after="40" w:before="40"/>
            </w:pPr>
            <w:r>
              <w:rPr>
                <w:b/>
                <w:bCs/>
                <w:sz w:val="22"/>
                <w:szCs w:val="22"/>
              </w:rPr>
              <w:t xml:space="preserve">Spousal support</w:t>
            </w:r>
          </w:p>
        </w:tc>
        <w:tc>
          <w:tcPr>
            <w:tcW w:type="dxa" w:w="1560"/>
            <w:shd w:fill="FFFFFF" w:color="auto" w:val="clear"/>
          </w:tcPr>
          <w:p>
            <w:pPr>
              <w:spacing w:after="40" w:before="40"/>
            </w:pPr>
            <w:r>
              <w:rPr>
                <w:sz w:val="22"/>
                <w:szCs w:val="22"/>
              </w:rPr>
              <w:t xml:space="preserve">Fully supported</w:t>
            </w:r>
          </w:p>
        </w:tc>
        <w:tc>
          <w:tcPr>
            <w:tcW w:type="dxa" w:w="1560"/>
            <w:shd w:fill="FFFFFF" w:color="auto" w:val="clear"/>
          </w:tcPr>
          <w:p>
            <w:pPr>
              <w:spacing w:after="40" w:before="40"/>
            </w:pPr>
            <w:r>
              <w:rPr>
                <w:sz w:val="22"/>
                <w:szCs w:val="22"/>
              </w:rPr>
              <w:t xml:space="preserve">Fully supported</w:t>
            </w:r>
          </w:p>
        </w:tc>
        <w:tc>
          <w:tcPr>
            <w:tcW w:type="dxa" w:w="1560"/>
            <w:shd w:fill="FFFFFF" w:color="auto" w:val="clear"/>
          </w:tcPr>
          <w:p>
            <w:pPr>
              <w:spacing w:after="40" w:before="40"/>
            </w:pPr>
            <w:r>
              <w:rPr>
                <w:sz w:val="22"/>
                <w:szCs w:val="22"/>
              </w:rPr>
              <w:t xml:space="preserve">Fully supported</w:t>
            </w:r>
          </w:p>
        </w:tc>
        <w:tc>
          <w:tcPr>
            <w:tcW w:type="dxa" w:w="1560"/>
            <w:shd w:fill="FFFFFF" w:color="auto" w:val="clear"/>
          </w:tcPr>
          <w:p>
            <w:pPr>
              <w:spacing w:after="40" w:before="40"/>
            </w:pPr>
            <w:r>
              <w:rPr>
                <w:sz w:val="22"/>
                <w:szCs w:val="22"/>
              </w:rPr>
              <w:t xml:space="preserve">Fully supported</w:t>
            </w:r>
          </w:p>
        </w:tc>
        <w:tc>
          <w:tcPr>
            <w:tcW w:type="dxa" w:w="1560"/>
            <w:shd w:fill="FFFFFF" w:color="auto" w:val="clear"/>
          </w:tcPr>
          <w:p>
            <w:pPr>
              <w:spacing w:after="40" w:before="40"/>
            </w:pPr>
            <w:r>
              <w:rPr>
                <w:sz w:val="22"/>
                <w:szCs w:val="22"/>
              </w:rPr>
              <w:t xml:space="preserve">Fully supported</w:t>
            </w:r>
          </w:p>
        </w:tc>
      </w:tr>
      <w:tr>
        <w:trPr>
          <w:tblHeader w:val="false"/>
        </w:trPr>
        <w:tc>
          <w:tcPr>
            <w:tcW w:type="dxa" w:w="1560"/>
            <w:shd w:fill="F2F2F2" w:color="auto" w:val="clear"/>
          </w:tcPr>
          <w:p>
            <w:pPr>
              <w:spacing w:after="40" w:before="40"/>
            </w:pPr>
            <w:r>
              <w:rPr>
                <w:b/>
                <w:bCs/>
                <w:sz w:val="22"/>
                <w:szCs w:val="22"/>
              </w:rPr>
              <w:t xml:space="preserve">Child support AI chat</w:t>
            </w:r>
          </w:p>
        </w:tc>
        <w:tc>
          <w:tcPr>
            <w:tcW w:type="dxa" w:w="1560"/>
            <w:shd w:fill="F2F2F2" w:color="auto" w:val="clear"/>
          </w:tcPr>
          <w:p>
            <w:pPr>
              <w:spacing w:after="40" w:before="40"/>
            </w:pPr>
            <w:r>
              <w:rPr>
                <w:sz w:val="22"/>
                <w:szCs w:val="22"/>
              </w:rPr>
              <w:t xml:space="preserve">Supported — AI asks province early</w:t>
            </w:r>
          </w:p>
        </w:tc>
        <w:tc>
          <w:tcPr>
            <w:tcW w:type="dxa" w:w="1560"/>
            <w:shd w:fill="F2F2F2" w:color="auto" w:val="clear"/>
          </w:tcPr>
          <w:p>
            <w:pPr>
              <w:spacing w:after="40" w:before="40"/>
            </w:pPr>
            <w:r>
              <w:rPr>
                <w:sz w:val="22"/>
                <w:szCs w:val="22"/>
              </w:rPr>
              <w:t xml:space="preserve">Supported</w:t>
            </w:r>
          </w:p>
        </w:tc>
        <w:tc>
          <w:tcPr>
            <w:tcW w:type="dxa" w:w="1560"/>
            <w:shd w:fill="F2F2F2" w:color="auto" w:val="clear"/>
          </w:tcPr>
          <w:p>
            <w:pPr>
              <w:spacing w:after="40" w:before="40"/>
            </w:pPr>
            <w:r>
              <w:rPr>
                <w:sz w:val="22"/>
                <w:szCs w:val="22"/>
              </w:rPr>
              <w:t xml:space="preserve">Supported</w:t>
            </w:r>
          </w:p>
        </w:tc>
        <w:tc>
          <w:tcPr>
            <w:tcW w:type="dxa" w:w="1560"/>
            <w:shd w:fill="F2F2F2" w:color="auto" w:val="clear"/>
          </w:tcPr>
          <w:p>
            <w:pPr>
              <w:spacing w:after="40" w:before="40"/>
            </w:pPr>
            <w:r>
              <w:rPr>
                <w:sz w:val="22"/>
                <w:szCs w:val="22"/>
              </w:rPr>
              <w:t xml:space="preserve">Supported</w:t>
            </w:r>
          </w:p>
        </w:tc>
        <w:tc>
          <w:tcPr>
            <w:tcW w:type="dxa" w:w="1560"/>
            <w:shd w:fill="F2F2F2" w:color="auto" w:val="clear"/>
          </w:tcPr>
          <w:p>
            <w:pPr>
              <w:spacing w:after="40" w:before="40"/>
            </w:pPr>
            <w:r>
              <w:rPr>
                <w:sz w:val="22"/>
                <w:szCs w:val="22"/>
              </w:rPr>
              <w:t xml:space="preserve">Supported</w:t>
            </w:r>
          </w:p>
        </w:tc>
      </w:tr>
      <w:tr>
        <w:trPr>
          <w:tblHeader w:val="false"/>
        </w:trPr>
        <w:tc>
          <w:tcPr>
            <w:tcW w:type="dxa" w:w="1560"/>
            <w:shd w:fill="FFFFFF" w:color="auto" w:val="clear"/>
          </w:tcPr>
          <w:p>
            <w:pPr>
              <w:spacing w:after="40" w:before="40"/>
            </w:pPr>
            <w:r>
              <w:rPr>
                <w:b/>
                <w:bCs/>
                <w:sz w:val="22"/>
                <w:szCs w:val="22"/>
              </w:rPr>
              <w:t xml:space="preserve">Spousal support AI chat</w:t>
            </w:r>
          </w:p>
        </w:tc>
        <w:tc>
          <w:tcPr>
            <w:tcW w:type="dxa" w:w="1560"/>
            <w:shd w:fill="FFFFFF" w:color="auto" w:val="clear"/>
          </w:tcPr>
          <w:p>
            <w:pPr>
              <w:spacing w:after="40" w:before="40"/>
            </w:pPr>
            <w:r>
              <w:rPr>
                <w:sz w:val="22"/>
                <w:szCs w:val="22"/>
              </w:rPr>
              <w:t xml:space="preserve">Supported</w:t>
            </w:r>
          </w:p>
        </w:tc>
        <w:tc>
          <w:tcPr>
            <w:tcW w:type="dxa" w:w="1560"/>
            <w:shd w:fill="FFFFFF" w:color="auto" w:val="clear"/>
          </w:tcPr>
          <w:p>
            <w:pPr>
              <w:spacing w:after="40" w:before="40"/>
            </w:pPr>
            <w:r>
              <w:rPr>
                <w:sz w:val="22"/>
                <w:szCs w:val="22"/>
              </w:rPr>
              <w:t xml:space="preserve">Supported</w:t>
            </w:r>
          </w:p>
        </w:tc>
        <w:tc>
          <w:tcPr>
            <w:tcW w:type="dxa" w:w="1560"/>
            <w:shd w:fill="FFFFFF" w:color="auto" w:val="clear"/>
          </w:tcPr>
          <w:p>
            <w:pPr>
              <w:spacing w:after="40" w:before="40"/>
            </w:pPr>
            <w:r>
              <w:rPr>
                <w:sz w:val="22"/>
                <w:szCs w:val="22"/>
              </w:rPr>
              <w:t xml:space="preserve">Supported</w:t>
            </w:r>
          </w:p>
        </w:tc>
        <w:tc>
          <w:tcPr>
            <w:tcW w:type="dxa" w:w="1560"/>
            <w:shd w:fill="FFFFFF" w:color="auto" w:val="clear"/>
          </w:tcPr>
          <w:p>
            <w:pPr>
              <w:spacing w:after="40" w:before="40"/>
            </w:pPr>
            <w:r>
              <w:rPr>
                <w:sz w:val="22"/>
                <w:szCs w:val="22"/>
              </w:rPr>
              <w:t xml:space="preserve">Supported</w:t>
            </w:r>
          </w:p>
        </w:tc>
        <w:tc>
          <w:tcPr>
            <w:tcW w:type="dxa" w:w="1560"/>
            <w:shd w:fill="FFFFFF" w:color="auto" w:val="clear"/>
          </w:tcPr>
          <w:p>
            <w:pPr>
              <w:spacing w:after="40" w:before="40"/>
            </w:pPr>
            <w:r>
              <w:rPr>
                <w:sz w:val="22"/>
                <w:szCs w:val="22"/>
              </w:rPr>
              <w:t xml:space="preserve">Supported</w:t>
            </w:r>
          </w:p>
        </w:tc>
      </w:tr>
      <w:tr>
        <w:trPr>
          <w:tblHeader w:val="false"/>
        </w:trPr>
        <w:tc>
          <w:tcPr>
            <w:tcW w:type="dxa" w:w="1560"/>
            <w:shd w:fill="F2F2F2" w:color="auto" w:val="clear"/>
          </w:tcPr>
          <w:p>
            <w:pPr>
              <w:spacing w:after="40" w:before="40"/>
            </w:pPr>
            <w:r>
              <w:rPr>
                <w:b/>
                <w:bCs/>
                <w:sz w:val="22"/>
                <w:szCs w:val="22"/>
              </w:rPr>
              <w:t xml:space="preserve">Tax AI chat</w:t>
            </w:r>
          </w:p>
        </w:tc>
        <w:tc>
          <w:tcPr>
            <w:tcW w:type="dxa" w:w="1560"/>
            <w:shd w:fill="F2F2F2" w:color="auto" w:val="clear"/>
          </w:tcPr>
          <w:p>
            <w:pPr>
              <w:spacing w:after="40" w:before="40"/>
            </w:pPr>
            <w:r>
              <w:rPr>
                <w:sz w:val="22"/>
                <w:szCs w:val="22"/>
              </w:rPr>
              <w:t xml:space="preserve">Supported (system prompt scoped to ON)</w:t>
            </w:r>
          </w:p>
        </w:tc>
        <w:tc>
          <w:tcPr>
            <w:tcW w:type="dxa" w:w="1560"/>
            <w:shd w:fill="F2F2F2" w:color="auto" w:val="clear"/>
          </w:tcPr>
          <w:p>
            <w:pPr>
              <w:spacing w:after="40" w:before="40"/>
            </w:pPr>
            <w:r>
              <w:rPr>
                <w:sz w:val="22"/>
                <w:szCs w:val="22"/>
              </w:rPr>
              <w:t xml:space="preserve">Engine supports BC; AI prompt restricts to ON only</w:t>
            </w:r>
          </w:p>
        </w:tc>
        <w:tc>
          <w:tcPr>
            <w:tcW w:type="dxa" w:w="1560"/>
            <w:shd w:fill="F2F2F2" w:color="auto" w:val="clear"/>
          </w:tcPr>
          <w:p>
            <w:pPr>
              <w:spacing w:after="40" w:before="40"/>
            </w:pPr>
            <w:r>
              <w:rPr>
                <w:sz w:val="22"/>
                <w:szCs w:val="22"/>
              </w:rPr>
              <w:t xml:space="preserve">Engine supports AB; AI prompt restricts to ON only</w:t>
            </w:r>
          </w:p>
        </w:tc>
        <w:tc>
          <w:tcPr>
            <w:tcW w:type="dxa" w:w="1560"/>
            <w:shd w:fill="F2F2F2" w:color="auto" w:val="clear"/>
          </w:tcPr>
          <w:p>
            <w:pPr>
              <w:spacing w:after="40" w:before="40"/>
            </w:pPr>
            <w:r>
              <w:rPr>
                <w:sz w:val="22"/>
                <w:szCs w:val="22"/>
              </w:rPr>
              <w:t xml:space="preserve">Engine supports SK; AI prompt restricts to ON only</w:t>
            </w:r>
          </w:p>
        </w:tc>
        <w:tc>
          <w:tcPr>
            <w:tcW w:type="dxa" w:w="1560"/>
            <w:shd w:fill="F2F2F2" w:color="auto" w:val="clear"/>
          </w:tcPr>
          <w:p>
            <w:pPr>
              <w:spacing w:after="40" w:before="40"/>
            </w:pPr>
            <w:r>
              <w:rPr>
                <w:sz w:val="22"/>
                <w:szCs w:val="22"/>
              </w:rPr>
              <w:t xml:space="preserve">Engine supports MB; AI prompt restricts to ON only</w:t>
            </w:r>
          </w:p>
        </w:tc>
      </w:tr>
    </w:tbl>
    <w:p>
      <w:pPr>
        <w:spacing w:after="120"/>
      </w:pPr>
    </w:p>
    <w:p>
      <w:pPr>
        <w:spacing w:after="120" w:line="276"/>
      </w:pPr>
      <w:r>
        <w:rPr>
          <w:sz w:val="22"/>
          <w:szCs w:val="22"/>
        </w:rPr>
        <w:t xml:space="preserve">The child support engine in </w:t>
      </w:r>
      <w:r>
        <w:rPr>
          <w:color w:val="2B579A"/>
          <w:sz w:val="22"/>
          <w:szCs w:val="22"/>
          <w:u w:val="single"/>
        </w:rPr>
        <w:t xml:space="preserve">child_support.py</w:t>
      </w:r>
      <w:r>
        <w:rPr>
          <w:sz w:val="22"/>
          <w:szCs w:val="22"/>
        </w:rPr>
        <w:t xml:space="preserve"> is inherently province-agnostic — it looks up Schedule I rows by province and computes obligations from whatever rows match. The tax engine in </w:t>
      </w:r>
      <w:r>
        <w:rPr>
          <w:color w:val="2B579A"/>
          <w:sz w:val="22"/>
          <w:szCs w:val="22"/>
          <w:u w:val="single"/>
        </w:rPr>
        <w:t xml:space="preserve">tax.py</w:t>
      </w:r>
      <w:r>
        <w:rPr>
          <w:sz w:val="22"/>
          <w:szCs w:val="22"/>
        </w:rPr>
        <w:t xml:space="preserve"> branches on province at each province-specific calculation point (provincial credits, provincial tax, provincial benefits). To add a sixth province, one would add its Schedule I rows to </w:t>
      </w:r>
      <w:r>
        <w:rPr>
          <w:rFonts w:ascii="Courier New" w:cs="Courier New" w:eastAsia="Courier New" w:hAnsi="Courier New"/>
          <w:sz w:val="20"/>
          <w:szCs w:val="20"/>
          <w:shd w:fill="E8E8E8" w:color="auto" w:val="clear"/>
        </w:rPr>
        <w:t xml:space="preserve">schedule_i.json</w:t>
      </w:r>
      <w:r>
        <w:rPr>
          <w:sz w:val="22"/>
          <w:szCs w:val="22"/>
        </w:rPr>
        <w:t xml:space="preserve">, its tax constants to </w:t>
      </w:r>
      <w:r>
        <w:rPr>
          <w:rFonts w:ascii="Courier New" w:cs="Courier New" w:eastAsia="Courier New" w:hAnsi="Courier New"/>
          <w:sz w:val="20"/>
          <w:szCs w:val="20"/>
          <w:shd w:fill="E8E8E8" w:color="auto" w:val="clear"/>
        </w:rPr>
        <w:t xml:space="preserve">tax_constants.json</w:t>
      </w:r>
      <w:r>
        <w:rPr>
          <w:sz w:val="22"/>
          <w:szCs w:val="22"/>
        </w:rPr>
        <w:t xml:space="preserve">, its </w:t>
      </w:r>
      <w:r>
        <w:rPr>
          <w:rFonts w:ascii="Courier New" w:cs="Courier New" w:eastAsia="Courier New" w:hAnsi="Courier New"/>
          <w:sz w:val="20"/>
          <w:szCs w:val="20"/>
          <w:shd w:fill="E8E8E8" w:color="auto" w:val="clear"/>
        </w:rPr>
        <w:t xml:space="preserve">calculate_&lt;province&gt;_tax()</w:t>
      </w:r>
      <w:r>
        <w:rPr>
          <w:sz w:val="22"/>
          <w:szCs w:val="22"/>
        </w:rPr>
        <w:t xml:space="preserve"> and benefit functions to </w:t>
      </w:r>
      <w:r>
        <w:rPr>
          <w:rFonts w:ascii="Courier New" w:cs="Courier New" w:eastAsia="Courier New" w:hAnsi="Courier New"/>
          <w:sz w:val="20"/>
          <w:szCs w:val="20"/>
          <w:shd w:fill="E8E8E8" w:color="auto" w:val="clear"/>
        </w:rPr>
        <w:t xml:space="preserve">tax.py</w:t>
      </w:r>
      <w:r>
        <w:rPr>
          <w:sz w:val="22"/>
          <w:szCs w:val="22"/>
        </w:rPr>
        <w:t xml:space="preserve">, and update the AI system prompts in </w:t>
      </w:r>
      <w:r>
        <w:rPr>
          <w:rFonts w:ascii="Courier New" w:cs="Courier New" w:eastAsia="Courier New" w:hAnsi="Courier New"/>
          <w:sz w:val="20"/>
          <w:szCs w:val="20"/>
          <w:shd w:fill="E8E8E8" w:color="auto" w:val="clear"/>
        </w:rPr>
        <w:t xml:space="preserve">app.py</w:t>
      </w:r>
      <w:r>
        <w:rPr>
          <w:sz w:val="22"/>
          <w:szCs w:val="22"/>
        </w:rPr>
        <w:t xml:space="preserve">.</w:t>
      </w:r>
    </w:p>
    <w:p>
      <w:pPr>
        <w:pBdr>
          <w:bottom w:val="single" w:color="BFBFBF" w:sz="6"/>
        </w:pBdr>
        <w:spacing w:after="120" w:before="120"/>
      </w:pPr>
    </w:p>
    <w:p>
      <w:pPr>
        <w:pStyle w:val="Heading2"/>
        <w:spacing w:after="120" w:before="240"/>
      </w:pPr>
      <w:r>
        <w:rPr>
          <w:sz w:val="22"/>
          <w:szCs w:val="22"/>
        </w:rPr>
        <w:t xml:space="preserve">Workflows</w:t>
      </w:r>
    </w:p>
    <w:p>
      <w:pPr>
        <w:spacing w:after="120" w:line="276"/>
      </w:pPr>
      <w:r>
        <w:rPr>
          <w:sz w:val="22"/>
          <w:szCs w:val="22"/>
        </w:rPr>
        <w:t xml:space="preserve">The platform provides multiple workflows sharing common backend calculation engines. Each workflow is described below with its end-to-end data flow.</w:t>
      </w:r>
    </w:p>
    <w:p>
      <w:pPr>
        <w:pStyle w:val="Heading3"/>
        <w:spacing w:after="120" w:before="240"/>
      </w:pPr>
      <w:r>
        <w:rPr>
          <w:sz w:val="22"/>
          <w:szCs w:val="22"/>
        </w:rPr>
        <w:t xml:space="preserve">1. Child support calculator — form workflow</w:t>
      </w:r>
    </w:p>
    <w:p>
      <w:pPr>
        <w:spacing w:after="60"/>
        <w:ind w:left="360"/>
      </w:pPr>
      <w:r>
        <w:rPr>
          <w:sz w:val="22"/>
          <w:szCs w:val="22"/>
        </w:rPr>
        <w:t xml:space="preserve">1. User loads the calculator at </w:t>
      </w:r>
      <w:r>
        <w:rPr>
          <w:rFonts w:ascii="Courier New" w:cs="Courier New" w:eastAsia="Courier New" w:hAnsi="Courier New"/>
          <w:sz w:val="20"/>
          <w:szCs w:val="20"/>
          <w:shd w:fill="E8E8E8" w:color="auto" w:val="clear"/>
        </w:rPr>
        <w:t xml:space="preserve">/</w:t>
      </w:r>
      <w:r>
        <w:rPr>
          <w:sz w:val="22"/>
          <w:szCs w:val="22"/>
        </w:rPr>
        <w:t xml:space="preserve"> (Flask serves </w:t>
      </w:r>
      <w:r>
        <w:rPr>
          <w:rFonts w:ascii="Courier New" w:cs="Courier New" w:eastAsia="Courier New" w:hAnsi="Courier New"/>
          <w:sz w:val="20"/>
          <w:szCs w:val="20"/>
          <w:shd w:fill="E8E8E8" w:color="auto" w:val="clear"/>
        </w:rPr>
        <w:t xml:space="preserve">templates/calculator.html</w:t>
      </w:r>
      <w:r>
        <w:rPr>
          <w:sz w:val="22"/>
          <w:szCs w:val="22"/>
        </w:rPr>
        <w:t xml:space="preserve"> with</w:t>
      </w:r>
    </w:p>
    <w:p>
      <w:pPr>
        <w:spacing w:after="120" w:line="276"/>
      </w:pPr>
      <w:r>
        <w:rPr>
          <w:sz w:val="22"/>
          <w:szCs w:val="22"/>
        </w:rPr>
        <w:t xml:space="preserve">   static CSS and JS).</w:t>
      </w:r>
    </w:p>
    <w:p>
      <w:pPr>
        <w:spacing w:after="60"/>
        <w:ind w:left="360"/>
      </w:pPr>
      <w:r>
        <w:rPr>
          <w:sz w:val="22"/>
          <w:szCs w:val="22"/>
        </w:rPr>
        <w:t xml:space="preserve">2. User enters Party 1 and Party 2 guideline incomes and adds children with custody</w:t>
      </w:r>
    </w:p>
    <w:p>
      <w:pPr>
        <w:spacing w:after="120" w:line="276"/>
      </w:pPr>
      <w:r>
        <w:rPr>
          <w:sz w:val="22"/>
          <w:szCs w:val="22"/>
        </w:rPr>
        <w:t xml:space="preserve">   arrangements via the form UI.</w:t>
      </w:r>
    </w:p>
    <w:p>
      <w:pPr>
        <w:spacing w:after="60"/>
        <w:ind w:left="360"/>
      </w:pPr>
      <w:r>
        <w:rPr>
          <w:sz w:val="22"/>
          <w:szCs w:val="22"/>
        </w:rPr>
        <w:t xml:space="preserve">3. On submit, the browser POSTs JSON to </w:t>
      </w:r>
      <w:r>
        <w:rPr>
          <w:rFonts w:ascii="Courier New" w:cs="Courier New" w:eastAsia="Courier New" w:hAnsi="Courier New"/>
          <w:sz w:val="20"/>
          <w:szCs w:val="20"/>
          <w:shd w:fill="E8E8E8" w:color="auto" w:val="clear"/>
        </w:rPr>
        <w:t xml:space="preserve">/calculate</w:t>
      </w:r>
      <w:r>
        <w:rPr>
          <w:sz w:val="22"/>
          <w:szCs w:val="22"/>
        </w:rPr>
        <w:t xml:space="preserve">.</w:t>
      </w:r>
    </w:p>
    <w:p>
      <w:pPr>
        <w:spacing w:after="60"/>
        <w:ind w:left="360"/>
      </w:pPr>
      <w:r>
        <w:rPr>
          <w:sz w:val="22"/>
          <w:szCs w:val="22"/>
        </w:rPr>
        <w:t xml:space="preserve">4. Flask calls </w:t>
      </w:r>
      <w:r>
        <w:rPr>
          <w:rFonts w:ascii="Courier New" w:cs="Courier New" w:eastAsia="Courier New" w:hAnsi="Courier New"/>
          <w:sz w:val="20"/>
          <w:szCs w:val="20"/>
          <w:shd w:fill="E8E8E8" w:color="auto" w:val="clear"/>
        </w:rPr>
        <w:t xml:space="preserve">compute_child_counts()</w:t>
      </w:r>
      <w:r>
        <w:rPr>
          <w:sz w:val="22"/>
          <w:szCs w:val="22"/>
        </w:rPr>
        <w:t xml:space="preserve"> to categorize children, then</w:t>
      </w:r>
    </w:p>
    <w:p>
      <w:pPr>
        <w:spacing w:after="120" w:line="276"/>
      </w:pPr>
      <w:r>
        <w:rPr>
          <w:sz w:val="22"/>
          <w:szCs w:val="22"/>
        </w:rPr>
        <w:t xml:space="preserve">   </w:t>
      </w:r>
      <w:r>
        <w:rPr>
          <w:rFonts w:ascii="Courier New" w:cs="Courier New" w:eastAsia="Courier New" w:hAnsi="Courier New"/>
          <w:sz w:val="20"/>
          <w:szCs w:val="20"/>
          <w:shd w:fill="E8E8E8" w:color="auto" w:val="clear"/>
        </w:rPr>
        <w:t xml:space="preserve">determine_type_of_splitting()</w:t>
      </w:r>
      <w:r>
        <w:rPr>
          <w:sz w:val="22"/>
          <w:szCs w:val="22"/>
        </w:rPr>
        <w:t xml:space="preserve"> to classify the scenario as SEPARATED, SHARED,    SPLIT, or HYBRID.</w:t>
      </w:r>
    </w:p>
    <w:p>
      <w:pPr>
        <w:spacing w:after="60"/>
        <w:ind w:left="360"/>
      </w:pPr>
      <w:r>
        <w:rPr>
          <w:sz w:val="22"/>
          <w:szCs w:val="22"/>
        </w:rPr>
        <w:t xml:space="preserve">5. </w:t>
      </w:r>
      <w:r>
        <w:rPr>
          <w:rFonts w:ascii="Courier New" w:cs="Courier New" w:eastAsia="Courier New" w:hAnsi="Courier New"/>
          <w:sz w:val="20"/>
          <w:szCs w:val="20"/>
          <w:shd w:fill="E8E8E8" w:color="auto" w:val="clear"/>
        </w:rPr>
        <w:t xml:space="preserve">calculate_child_support()</w:t>
      </w:r>
      <w:r>
        <w:rPr>
          <w:sz w:val="22"/>
          <w:szCs w:val="22"/>
        </w:rPr>
        <w:t xml:space="preserve"> runs the Schedule I formula against</w:t>
      </w:r>
    </w:p>
    <w:p>
      <w:pPr>
        <w:spacing w:after="120" w:line="276"/>
      </w:pPr>
      <w:r>
        <w:rPr>
          <w:sz w:val="22"/>
          <w:szCs w:val="22"/>
        </w:rPr>
        <w:t xml:space="preserve">   </w:t>
      </w:r>
      <w:r>
        <w:rPr>
          <w:color w:val="2B579A"/>
          <w:sz w:val="22"/>
          <w:szCs w:val="22"/>
          <w:u w:val="single"/>
        </w:rPr>
        <w:t xml:space="preserve">schedule_i.json</w:t>
      </w:r>
      <w:r>
        <w:rPr>
          <w:sz w:val="22"/>
          <w:szCs w:val="22"/>
        </w:rPr>
        <w:t xml:space="preserve"> for each party, filtering rows by the    party's province (</w:t>
      </w:r>
      <w:r>
        <w:rPr>
          <w:rFonts w:ascii="Courier New" w:cs="Courier New" w:eastAsia="Courier New" w:hAnsi="Courier New"/>
          <w:sz w:val="20"/>
          <w:szCs w:val="20"/>
          <w:shd w:fill="E8E8E8" w:color="auto" w:val="clear"/>
        </w:rPr>
        <w:t xml:space="preserve">"ON"</w:t>
      </w:r>
      <w:r>
        <w:rPr>
          <w:sz w:val="22"/>
          <w:szCs w:val="22"/>
        </w:rPr>
        <w:t xml:space="preserve">, </w:t>
      </w:r>
      <w:r>
        <w:rPr>
          <w:rFonts w:ascii="Courier New" w:cs="Courier New" w:eastAsia="Courier New" w:hAnsi="Courier New"/>
          <w:sz w:val="20"/>
          <w:szCs w:val="20"/>
          <w:shd w:fill="E8E8E8" w:color="auto" w:val="clear"/>
        </w:rPr>
        <w:t xml:space="preserve">"BC"</w:t>
      </w:r>
      <w:r>
        <w:rPr>
          <w:sz w:val="22"/>
          <w:szCs w:val="22"/>
        </w:rPr>
        <w:t xml:space="preserve">, </w:t>
      </w:r>
      <w:r>
        <w:rPr>
          <w:rFonts w:ascii="Courier New" w:cs="Courier New" w:eastAsia="Courier New" w:hAnsi="Courier New"/>
          <w:sz w:val="20"/>
          <w:szCs w:val="20"/>
          <w:shd w:fill="E8E8E8" w:color="auto" w:val="clear"/>
        </w:rPr>
        <w:t xml:space="preserve">"AB"</w:t>
      </w:r>
      <w:r>
        <w:rPr>
          <w:sz w:val="22"/>
          <w:szCs w:val="22"/>
        </w:rPr>
        <w:t xml:space="preserve">, </w:t>
      </w:r>
      <w:r>
        <w:rPr>
          <w:rFonts w:ascii="Courier New" w:cs="Courier New" w:eastAsia="Courier New" w:hAnsi="Courier New"/>
          <w:sz w:val="20"/>
          <w:szCs w:val="20"/>
          <w:shd w:fill="E8E8E8" w:color="auto" w:val="clear"/>
        </w:rPr>
        <w:t xml:space="preserve">"SK"</w:t>
      </w:r>
      <w:r>
        <w:rPr>
          <w:sz w:val="22"/>
          <w:szCs w:val="22"/>
        </w:rPr>
        <w:t xml:space="preserve">, or </w:t>
      </w:r>
      <w:r>
        <w:rPr>
          <w:rFonts w:ascii="Courier New" w:cs="Courier New" w:eastAsia="Courier New" w:hAnsi="Courier New"/>
          <w:sz w:val="20"/>
          <w:szCs w:val="20"/>
          <w:shd w:fill="E8E8E8" w:color="auto" w:val="clear"/>
        </w:rPr>
        <w:t xml:space="preserve">"MB"</w:t>
      </w:r>
      <w:r>
        <w:rPr>
          <w:sz w:val="22"/>
          <w:szCs w:val="22"/>
        </w:rPr>
        <w:t xml:space="preserve">).</w:t>
      </w:r>
    </w:p>
    <w:p>
      <w:pPr>
        <w:spacing w:after="60"/>
        <w:ind w:left="360"/>
      </w:pPr>
      <w:r>
        <w:rPr>
          <w:sz w:val="22"/>
          <w:szCs w:val="22"/>
        </w:rPr>
        <w:t xml:space="preserve">6. JSON result is returned. The browser renders monthly and annual figures for both</w:t>
      </w:r>
    </w:p>
    <w:p>
      <w:pPr>
        <w:spacing w:after="120" w:line="276"/>
      </w:pPr>
      <w:r>
        <w:rPr>
          <w:sz w:val="22"/>
          <w:szCs w:val="22"/>
        </w:rPr>
        <w:t xml:space="preserve">   parties with a net-payer verdict.</w:t>
      </w:r>
    </w:p>
    <w:p>
      <w:pPr>
        <w:spacing w:after="60"/>
        <w:ind w:left="360"/>
      </w:pPr>
      <w:r>
        <w:rPr>
          <w:sz w:val="22"/>
          <w:szCs w:val="22"/>
        </w:rPr>
        <w:t xml:space="preserve">7. The backend auto-generates a PDF report via ReportLab containing the input</w:t>
      </w:r>
    </w:p>
    <w:p>
      <w:pPr>
        <w:spacing w:after="120" w:line="276"/>
      </w:pPr>
      <w:r>
        <w:rPr>
          <w:sz w:val="22"/>
          <w:szCs w:val="22"/>
        </w:rPr>
        <w:t xml:space="preserve">   parameters, scenario classification, per-party gross obligations, and final    net-payer determination. The PDF is saved to a server-side temporary directory and    returned to the browser as both a download URL (</w:t>
      </w:r>
      <w:r>
        <w:rPr>
          <w:rFonts w:ascii="Courier New" w:cs="Courier New" w:eastAsia="Courier New" w:hAnsi="Courier New"/>
          <w:sz w:val="20"/>
          <w:szCs w:val="20"/>
          <w:shd w:fill="E8E8E8" w:color="auto" w:val="clear"/>
        </w:rPr>
        <w:t xml:space="preserve">/download-report/:filename</w:t>
      </w:r>
      <w:r>
        <w:rPr>
          <w:sz w:val="22"/>
          <w:szCs w:val="22"/>
        </w:rPr>
        <w:t xml:space="preserve">) and    a base64-encoded payload.</w:t>
      </w:r>
    </w:p>
    <w:p>
      <w:pPr>
        <w:spacing w:after="60"/>
        <w:ind w:left="360"/>
      </w:pPr>
      <w:r>
        <w:rPr>
          <w:sz w:val="22"/>
          <w:szCs w:val="22"/>
        </w:rPr>
        <w:t xml:space="preserve">8. The frontend displays a </w:t>
      </w:r>
      <w:r>
        <w:rPr>
          <w:b/>
          <w:bCs/>
          <w:sz w:val="22"/>
          <w:szCs w:val="22"/>
        </w:rPr>
        <w:t xml:space="preserve">Download PDF Report</w:t>
      </w:r>
      <w:r>
        <w:rPr>
          <w:sz w:val="22"/>
          <w:szCs w:val="22"/>
        </w:rPr>
        <w:t xml:space="preserve"> button (using the URL or base64)</w:t>
      </w:r>
    </w:p>
    <w:p>
      <w:pPr>
        <w:spacing w:after="120" w:line="276"/>
      </w:pPr>
      <w:r>
        <w:rPr>
          <w:sz w:val="22"/>
          <w:szCs w:val="22"/>
        </w:rPr>
        <w:t xml:space="preserve">   and a </w:t>
      </w:r>
      <w:r>
        <w:rPr>
          <w:b/>
          <w:bCs/>
          <w:sz w:val="22"/>
          <w:szCs w:val="22"/>
        </w:rPr>
        <w:t xml:space="preserve">Save to Matter</w:t>
      </w:r>
      <w:r>
        <w:rPr>
          <w:sz w:val="22"/>
          <w:szCs w:val="22"/>
        </w:rPr>
        <w:t xml:space="preserve"> button that persists the calculation result and the PDF    attachment to the matter record in the auth-server database, associating the    report with the current matter for future retrieval.</w:t>
      </w:r>
    </w:p>
    <w:p>
      <w:pPr>
        <w:pStyle w:val="Heading3"/>
        <w:spacing w:after="120" w:before="240"/>
      </w:pPr>
      <w:r>
        <w:rPr>
          <w:sz w:val="22"/>
          <w:szCs w:val="22"/>
        </w:rPr>
        <w:t xml:space="preserve">2. Child support AI chat workflow</w:t>
      </w:r>
    </w:p>
    <w:p>
      <w:pPr>
        <w:spacing w:after="60"/>
        <w:ind w:left="360"/>
      </w:pPr>
      <w:r>
        <w:rPr>
          <w:sz w:val="22"/>
          <w:szCs w:val="22"/>
        </w:rPr>
        <w:t xml:space="preserve">1. User opens the Child Support chat panel within the matter workflow. The panel</w:t>
      </w:r>
    </w:p>
    <w:p>
      <w:pPr>
        <w:spacing w:after="120" w:line="276"/>
      </w:pPr>
      <w:r>
        <w:rPr>
          <w:sz w:val="22"/>
          <w:szCs w:val="22"/>
        </w:rPr>
        <w:t xml:space="preserve">   auto-loads existing matter data as context.</w:t>
      </w:r>
    </w:p>
    <w:p>
      <w:pPr>
        <w:spacing w:after="60"/>
        <w:ind w:left="360"/>
      </w:pPr>
      <w:r>
        <w:rPr>
          <w:sz w:val="22"/>
          <w:szCs w:val="22"/>
        </w:rPr>
        <w:t xml:space="preserve">2. The </w:t>
      </w:r>
      <w:r>
        <w:rPr>
          <w:rFonts w:ascii="Courier New" w:cs="Courier New" w:eastAsia="Courier New" w:hAnsi="Courier New"/>
          <w:sz w:val="20"/>
          <w:szCs w:val="20"/>
          <w:shd w:fill="E8E8E8" w:color="auto" w:val="clear"/>
        </w:rPr>
        <w:t xml:space="preserve">buildContextMessage</w:t>
      </w:r>
      <w:r>
        <w:rPr>
          <w:sz w:val="22"/>
          <w:szCs w:val="22"/>
        </w:rPr>
        <w:t xml:space="preserve"> function splits matter data into two channels: session</w:t>
      </w:r>
    </w:p>
    <w:p>
      <w:pPr>
        <w:spacing w:after="120" w:line="276"/>
      </w:pPr>
      <w:r>
        <w:rPr>
          <w:sz w:val="22"/>
          <w:szCs w:val="22"/>
        </w:rPr>
        <w:t xml:space="preserve">   metadata (law firm, firm ID, lawyer name, province, matter number, client name) is    placed in an </w:t>
      </w:r>
      <w:r>
        <w:rPr>
          <w:rFonts w:ascii="Courier New" w:cs="Courier New" w:eastAsia="Courier New" w:hAnsi="Courier New"/>
          <w:sz w:val="20"/>
          <w:szCs w:val="20"/>
          <w:shd w:fill="E8E8E8" w:color="auto" w:val="clear"/>
        </w:rPr>
        <w:t xml:space="preserve">aiOnly</w:t>
      </w:r>
      <w:r>
        <w:rPr>
          <w:sz w:val="22"/>
          <w:szCs w:val="22"/>
        </w:rPr>
        <w:t xml:space="preserve"> array sent only to the AI, while actual matter data (party    names, DOBs, incomes, children, etc.) is placed in a </w:t>
      </w:r>
      <w:r>
        <w:rPr>
          <w:rFonts w:ascii="Courier New" w:cs="Courier New" w:eastAsia="Courier New" w:hAnsi="Courier New"/>
          <w:sz w:val="20"/>
          <w:szCs w:val="20"/>
          <w:shd w:fill="E8E8E8" w:color="auto" w:val="clear"/>
        </w:rPr>
        <w:t xml:space="preserve">display</w:t>
      </w:r>
      <w:r>
        <w:rPr>
          <w:sz w:val="22"/>
          <w:szCs w:val="22"/>
        </w:rPr>
        <w:t xml:space="preserve"> array shown in the    chat bubble. (See *AI chat panel architecture* below for full details.)</w:t>
      </w:r>
    </w:p>
    <w:p>
      <w:pPr>
        <w:spacing w:after="60"/>
        <w:ind w:left="360"/>
      </w:pPr>
      <w:r>
        <w:rPr>
          <w:sz w:val="22"/>
          <w:szCs w:val="22"/>
        </w:rPr>
        <w:t xml:space="preserve">3. When display data exists, it appears as a user bubble. When only session metadata</w:t>
      </w:r>
    </w:p>
    <w:p>
      <w:pPr>
        <w:spacing w:after="120" w:line="276"/>
      </w:pPr>
      <w:r>
        <w:rPr>
          <w:sz w:val="22"/>
          <w:szCs w:val="22"/>
        </w:rPr>
        <w:t xml:space="preserve">   exists (no visible matter data), the display returns </w:t>
      </w:r>
      <w:r>
        <w:rPr>
          <w:rFonts w:ascii="Courier New" w:cs="Courier New" w:eastAsia="Courier New" w:hAnsi="Courier New"/>
          <w:sz w:val="20"/>
          <w:szCs w:val="20"/>
          <w:shd w:fill="E8E8E8" w:color="auto" w:val="clear"/>
        </w:rPr>
        <w:t xml:space="preserve">null</w:t>
      </w:r>
      <w:r>
        <w:rPr>
          <w:sz w:val="22"/>
          <w:szCs w:val="22"/>
        </w:rPr>
        <w:t xml:space="preserve"> and the user bubble is    hidden entirely — the AI still receives all data.</w:t>
      </w:r>
    </w:p>
    <w:p>
      <w:pPr>
        <w:spacing w:after="60"/>
        <w:ind w:left="360"/>
      </w:pPr>
      <w:r>
        <w:rPr>
          <w:sz w:val="22"/>
          <w:szCs w:val="22"/>
        </w:rPr>
        <w:t xml:space="preserve">4. The first message is sent as an automated database snapshot. The AI system prompt</w:t>
      </w:r>
    </w:p>
    <w:p>
      <w:pPr>
        <w:spacing w:after="120" w:line="276"/>
      </w:pPr>
      <w:r>
        <w:rPr>
          <w:sz w:val="22"/>
          <w:szCs w:val="22"/>
        </w:rPr>
        <w:t xml:space="preserve">   instructs Claude to treat it as pre-existing information (not user-typed), so it    does not thank the user for providing it.</w:t>
      </w:r>
    </w:p>
    <w:p>
      <w:pPr>
        <w:spacing w:after="60"/>
        <w:ind w:left="360"/>
      </w:pPr>
      <w:r>
        <w:rPr>
          <w:sz w:val="22"/>
          <w:szCs w:val="22"/>
        </w:rPr>
        <w:t xml:space="preserve">5. Browser POSTs the full message history to </w:t>
      </w:r>
      <w:r>
        <w:rPr>
          <w:rFonts w:ascii="Courier New" w:cs="Courier New" w:eastAsia="Courier New" w:hAnsi="Courier New"/>
          <w:sz w:val="20"/>
          <w:szCs w:val="20"/>
          <w:shd w:fill="E8E8E8" w:color="auto" w:val="clear"/>
        </w:rPr>
        <w:t xml:space="preserve">/chat</w:t>
      </w:r>
      <w:r>
        <w:rPr>
          <w:sz w:val="22"/>
          <w:szCs w:val="22"/>
        </w:rPr>
        <w:t xml:space="preserve">. Flask passes messages to Claude</w:t>
      </w:r>
    </w:p>
    <w:p>
      <w:pPr>
        <w:spacing w:after="120" w:line="276"/>
      </w:pPr>
      <w:r>
        <w:rPr>
          <w:sz w:val="22"/>
          <w:szCs w:val="22"/>
        </w:rPr>
        <w:t xml:space="preserve">   claude-sonnet-4-6 via the Anthropic API with a </w:t>
      </w:r>
      <w:r>
        <w:rPr>
          <w:rFonts w:ascii="Courier New" w:cs="Courier New" w:eastAsia="Courier New" w:hAnsi="Courier New"/>
          <w:sz w:val="20"/>
          <w:szCs w:val="20"/>
          <w:shd w:fill="E8E8E8" w:color="auto" w:val="clear"/>
        </w:rPr>
        <w:t xml:space="preserve">calculate_child_support</w:t>
      </w:r>
      <w:r>
        <w:rPr>
          <w:sz w:val="22"/>
          <w:szCs w:val="22"/>
        </w:rPr>
        <w:t xml:space="preserve"> tool    definition. The tool schema includes a </w:t>
      </w:r>
      <w:r>
        <w:rPr>
          <w:rFonts w:ascii="Courier New" w:cs="Courier New" w:eastAsia="Courier New" w:hAnsi="Courier New"/>
          <w:sz w:val="20"/>
          <w:szCs w:val="20"/>
          <w:shd w:fill="E8E8E8" w:color="auto" w:val="clear"/>
        </w:rPr>
        <w:t xml:space="preserve">province</w:t>
      </w:r>
      <w:r>
        <w:rPr>
          <w:sz w:val="22"/>
          <w:szCs w:val="22"/>
        </w:rPr>
        <w:t xml:space="preserve"> field with enum </w:t>
      </w:r>
      <w:r>
        <w:rPr>
          <w:rFonts w:ascii="Courier New" w:cs="Courier New" w:eastAsia="Courier New" w:hAnsi="Courier New"/>
          <w:sz w:val="20"/>
          <w:szCs w:val="20"/>
          <w:shd w:fill="E8E8E8" w:color="auto" w:val="clear"/>
        </w:rPr>
        <w:t xml:space="preserve">["ON", "BC", "AB", "SK", "MB"]</w:t>
      </w:r>
      <w:r>
        <w:rPr>
          <w:sz w:val="22"/>
          <w:szCs w:val="22"/>
        </w:rPr>
        <w:t xml:space="preserve">.</w:t>
      </w:r>
    </w:p>
    <w:p>
      <w:pPr>
        <w:spacing w:after="60"/>
        <w:ind w:left="360"/>
      </w:pPr>
      <w:r>
        <w:rPr>
          <w:sz w:val="22"/>
          <w:szCs w:val="22"/>
        </w:rPr>
        <w:t xml:space="preserve">6. The AI system prompt requires Claude to ask which province the calculation is for</w:t>
      </w:r>
    </w:p>
    <w:p>
      <w:pPr>
        <w:spacing w:after="120" w:line="276"/>
      </w:pPr>
      <w:r>
        <w:rPr>
          <w:sz w:val="22"/>
          <w:szCs w:val="22"/>
        </w:rPr>
        <w:t xml:space="preserve">   (Ontario, British Columbia, Alberta, Saskatchewan, or Manitoba) early in the    conversation. If the matter data already    includes a province, the AI uses that and confirms it. Claude collects any remaining    missing details conversationally, then invokes the tool.</w:t>
      </w:r>
    </w:p>
    <w:p>
      <w:pPr>
        <w:spacing w:after="60"/>
        <w:ind w:left="360"/>
      </w:pPr>
      <w:r>
        <w:rPr>
          <w:sz w:val="22"/>
          <w:szCs w:val="22"/>
        </w:rPr>
        <w:t xml:space="preserve">7. Flask intercepts the tool call, runs </w:t>
      </w:r>
      <w:r>
        <w:rPr>
          <w:rFonts w:ascii="Courier New" w:cs="Courier New" w:eastAsia="Courier New" w:hAnsi="Courier New"/>
          <w:sz w:val="20"/>
          <w:szCs w:val="20"/>
          <w:shd w:fill="E8E8E8" w:color="auto" w:val="clear"/>
        </w:rPr>
        <w:t xml:space="preserve">run_calc_tool()</w:t>
      </w:r>
      <w:r>
        <w:rPr>
          <w:sz w:val="22"/>
          <w:szCs w:val="22"/>
        </w:rPr>
        <w:t xml:space="preserve"> which calls the same</w:t>
      </w:r>
    </w:p>
    <w:p>
      <w:pPr>
        <w:spacing w:after="120" w:line="276"/>
      </w:pPr>
      <w:r>
        <w:rPr>
          <w:sz w:val="22"/>
          <w:szCs w:val="22"/>
        </w:rPr>
        <w:t xml:space="preserve">   </w:t>
      </w:r>
      <w:r>
        <w:rPr>
          <w:rFonts w:ascii="Courier New" w:cs="Courier New" w:eastAsia="Courier New" w:hAnsi="Courier New"/>
          <w:sz w:val="20"/>
          <w:szCs w:val="20"/>
          <w:shd w:fill="E8E8E8" w:color="auto" w:val="clear"/>
        </w:rPr>
        <w:t xml:space="preserve">calculate_child_support()</w:t>
      </w:r>
      <w:r>
        <w:rPr>
          <w:sz w:val="22"/>
          <w:szCs w:val="22"/>
        </w:rPr>
        <w:t xml:space="preserve"> engine used by the form, and auto-generates a PDF    report.</w:t>
      </w:r>
    </w:p>
    <w:p>
      <w:pPr>
        <w:spacing w:after="60"/>
        <w:ind w:left="360"/>
      </w:pPr>
      <w:r>
        <w:rPr>
          <w:sz w:val="22"/>
          <w:szCs w:val="22"/>
        </w:rPr>
        <w:t xml:space="preserve">8. The tool result (including a download URL and base64-encoded PDF) is returned to</w:t>
      </w:r>
    </w:p>
    <w:p>
      <w:pPr>
        <w:spacing w:after="120" w:line="276"/>
      </w:pPr>
      <w:r>
        <w:rPr>
          <w:sz w:val="22"/>
          <w:szCs w:val="22"/>
        </w:rPr>
        <w:t xml:space="preserve">   Claude. Claude explains the outcome in plain language and includes the download    link.</w:t>
      </w:r>
    </w:p>
    <w:p>
      <w:pPr>
        <w:spacing w:after="60"/>
        <w:ind w:left="360"/>
      </w:pPr>
      <w:r>
        <w:rPr>
          <w:sz w:val="22"/>
          <w:szCs w:val="22"/>
        </w:rPr>
        <w:t xml:space="preserve">9. The frontend displays a </w:t>
      </w:r>
      <w:r>
        <w:rPr>
          <w:b/>
          <w:bCs/>
          <w:sz w:val="22"/>
          <w:szCs w:val="22"/>
        </w:rPr>
        <w:t xml:space="preserve">Download PDF Report</w:t>
      </w:r>
      <w:r>
        <w:rPr>
          <w:sz w:val="22"/>
          <w:szCs w:val="22"/>
        </w:rPr>
        <w:t xml:space="preserve"> button and a </w:t>
      </w:r>
      <w:r>
        <w:rPr>
          <w:b/>
          <w:bCs/>
          <w:sz w:val="22"/>
          <w:szCs w:val="22"/>
        </w:rPr>
        <w:t xml:space="preserve">Save to Matter</w:t>
      </w:r>
    </w:p>
    <w:p>
      <w:pPr>
        <w:spacing w:after="120" w:line="276"/>
      </w:pPr>
      <w:r>
        <w:rPr>
          <w:sz w:val="22"/>
          <w:szCs w:val="22"/>
        </w:rPr>
        <w:t xml:space="preserve">   button allowing the user to persist the calculation result to the matter record.</w:t>
      </w:r>
    </w:p>
    <w:p>
      <w:pPr>
        <w:pStyle w:val="Heading3"/>
        <w:spacing w:after="120" w:before="240"/>
      </w:pPr>
      <w:r>
        <w:rPr>
          <w:sz w:val="22"/>
          <w:szCs w:val="22"/>
        </w:rPr>
        <w:t xml:space="preserve">3. Spousal support calculator — form workflow</w:t>
      </w:r>
    </w:p>
    <w:p>
      <w:pPr>
        <w:spacing w:after="60"/>
        <w:ind w:left="360"/>
      </w:pPr>
      <w:r>
        <w:rPr>
          <w:sz w:val="22"/>
          <w:szCs w:val="22"/>
        </w:rPr>
        <w:t xml:space="preserve">1. User submits party incomes, ages, relationship duration, children details, and</w:t>
      </w:r>
    </w:p>
    <w:p>
      <w:pPr>
        <w:spacing w:after="120" w:line="276"/>
      </w:pPr>
      <w:r>
        <w:rPr>
          <w:sz w:val="22"/>
          <w:szCs w:val="22"/>
        </w:rPr>
        <w:t xml:space="preserve">   province (</w:t>
      </w:r>
      <w:r>
        <w:rPr>
          <w:rFonts w:ascii="Courier New" w:cs="Courier New" w:eastAsia="Courier New" w:hAnsi="Courier New"/>
          <w:sz w:val="20"/>
          <w:szCs w:val="20"/>
          <w:shd w:fill="E8E8E8" w:color="auto" w:val="clear"/>
        </w:rPr>
        <w:t xml:space="preserve">"ON"</w:t>
      </w:r>
      <w:r>
        <w:rPr>
          <w:sz w:val="22"/>
          <w:szCs w:val="22"/>
        </w:rPr>
        <w:t xml:space="preserve">, </w:t>
      </w:r>
      <w:r>
        <w:rPr>
          <w:rFonts w:ascii="Courier New" w:cs="Courier New" w:eastAsia="Courier New" w:hAnsi="Courier New"/>
          <w:sz w:val="20"/>
          <w:szCs w:val="20"/>
          <w:shd w:fill="E8E8E8" w:color="auto" w:val="clear"/>
        </w:rPr>
        <w:t xml:space="preserve">"BC"</w:t>
      </w:r>
      <w:r>
        <w:rPr>
          <w:sz w:val="22"/>
          <w:szCs w:val="22"/>
        </w:rPr>
        <w:t xml:space="preserve">, </w:t>
      </w:r>
      <w:r>
        <w:rPr>
          <w:rFonts w:ascii="Courier New" w:cs="Courier New" w:eastAsia="Courier New" w:hAnsi="Courier New"/>
          <w:sz w:val="20"/>
          <w:szCs w:val="20"/>
          <w:shd w:fill="E8E8E8" w:color="auto" w:val="clear"/>
        </w:rPr>
        <w:t xml:space="preserve">"AB"</w:t>
      </w:r>
      <w:r>
        <w:rPr>
          <w:sz w:val="22"/>
          <w:szCs w:val="22"/>
        </w:rPr>
        <w:t xml:space="preserve">, </w:t>
      </w:r>
      <w:r>
        <w:rPr>
          <w:rFonts w:ascii="Courier New" w:cs="Courier New" w:eastAsia="Courier New" w:hAnsi="Courier New"/>
          <w:sz w:val="20"/>
          <w:szCs w:val="20"/>
          <w:shd w:fill="E8E8E8" w:color="auto" w:val="clear"/>
        </w:rPr>
        <w:t xml:space="preserve">"SK"</w:t>
      </w:r>
      <w:r>
        <w:rPr>
          <w:sz w:val="22"/>
          <w:szCs w:val="22"/>
        </w:rPr>
        <w:t xml:space="preserve">, or </w:t>
      </w:r>
      <w:r>
        <w:rPr>
          <w:rFonts w:ascii="Courier New" w:cs="Courier New" w:eastAsia="Courier New" w:hAnsi="Courier New"/>
          <w:sz w:val="20"/>
          <w:szCs w:val="20"/>
          <w:shd w:fill="E8E8E8" w:color="auto" w:val="clear"/>
        </w:rPr>
        <w:t xml:space="preserve">"MB"</w:t>
      </w:r>
      <w:r>
        <w:rPr>
          <w:sz w:val="22"/>
          <w:szCs w:val="22"/>
        </w:rPr>
        <w:t xml:space="preserve">, defaults to </w:t>
      </w:r>
      <w:r>
        <w:rPr>
          <w:rFonts w:ascii="Courier New" w:cs="Courier New" w:eastAsia="Courier New" w:hAnsi="Courier New"/>
          <w:sz w:val="20"/>
          <w:szCs w:val="20"/>
          <w:shd w:fill="E8E8E8" w:color="auto" w:val="clear"/>
        </w:rPr>
        <w:t xml:space="preserve">"ON"</w:t>
      </w:r>
      <w:r>
        <w:rPr>
          <w:sz w:val="22"/>
          <w:szCs w:val="22"/>
        </w:rPr>
        <w:t xml:space="preserve"> if omitted) to    </w:t>
      </w:r>
      <w:r>
        <w:rPr>
          <w:rFonts w:ascii="Courier New" w:cs="Courier New" w:eastAsia="Courier New" w:hAnsi="Courier New"/>
          <w:sz w:val="20"/>
          <w:szCs w:val="20"/>
          <w:shd w:fill="E8E8E8" w:color="auto" w:val="clear"/>
        </w:rPr>
        <w:t xml:space="preserve">/spousal-calculate</w:t>
      </w:r>
      <w:r>
        <w:rPr>
          <w:sz w:val="22"/>
          <w:szCs w:val="22"/>
        </w:rPr>
        <w:t xml:space="preserve">.</w:t>
      </w:r>
    </w:p>
    <w:p>
      <w:pPr>
        <w:spacing w:after="60"/>
        <w:ind w:left="360"/>
      </w:pPr>
      <w:r>
        <w:rPr>
          <w:sz w:val="22"/>
          <w:szCs w:val="22"/>
        </w:rPr>
        <w:t xml:space="preserve">2. The backend determines whether to use the without-children formula or the</w:t>
      </w:r>
    </w:p>
    <w:p>
      <w:pPr>
        <w:spacing w:after="120" w:line="276"/>
      </w:pPr>
      <w:r>
        <w:rPr>
          <w:sz w:val="22"/>
          <w:szCs w:val="22"/>
        </w:rPr>
        <w:t xml:space="preserve">   with-children iterative tax-converging formula.</w:t>
      </w:r>
    </w:p>
    <w:p>
      <w:pPr>
        <w:spacing w:after="60"/>
        <w:ind w:left="360"/>
      </w:pPr>
      <w:r>
        <w:rPr>
          <w:sz w:val="22"/>
          <w:szCs w:val="22"/>
        </w:rPr>
        <w:t xml:space="preserve">3. </w:t>
      </w:r>
      <w:r>
        <w:rPr>
          <w:b/>
          <w:bCs/>
          <w:sz w:val="22"/>
          <w:szCs w:val="22"/>
        </w:rPr>
        <w:t xml:space="preserve">Without children:</w:t>
      </w:r>
      <w:r>
        <w:rPr>
          <w:sz w:val="22"/>
          <w:szCs w:val="22"/>
        </w:rPr>
        <w:t xml:space="preserve"> applies 1.5% / 1.75% / 2.0% × gross income difference ×</w:t>
      </w:r>
    </w:p>
    <w:p>
      <w:pPr>
        <w:spacing w:after="120" w:line="276"/>
      </w:pPr>
      <w:r>
        <w:rPr>
          <w:sz w:val="22"/>
          <w:szCs w:val="22"/>
        </w:rPr>
        <w:t xml:space="preserve">   years of relationship for low/mid/high amounts.</w:t>
      </w:r>
    </w:p>
    <w:p>
      <w:pPr>
        <w:spacing w:after="60"/>
        <w:ind w:left="360"/>
      </w:pPr>
      <w:r>
        <w:rPr>
          <w:sz w:val="22"/>
          <w:szCs w:val="22"/>
        </w:rPr>
        <w:t xml:space="preserve">4. </w:t>
      </w:r>
      <w:r>
        <w:rPr>
          <w:b/>
          <w:bCs/>
          <w:sz w:val="22"/>
          <w:szCs w:val="22"/>
        </w:rPr>
        <w:t xml:space="preserve">With children:</w:t>
      </w:r>
      <w:r>
        <w:rPr>
          <w:sz w:val="22"/>
          <w:szCs w:val="22"/>
        </w:rPr>
        <w:t xml:space="preserve"> runs </w:t>
      </w:r>
      <w:r>
        <w:rPr>
          <w:rFonts w:ascii="Courier New" w:cs="Courier New" w:eastAsia="Courier New" w:hAnsi="Courier New"/>
          <w:sz w:val="20"/>
          <w:szCs w:val="20"/>
          <w:shd w:fill="E8E8E8" w:color="auto" w:val="clear"/>
        </w:rPr>
        <w:t xml:space="preserve">calculate_spousal_support_iterative()</w:t>
      </w:r>
      <w:r>
        <w:rPr>
          <w:sz w:val="22"/>
          <w:szCs w:val="22"/>
        </w:rPr>
        <w:t xml:space="preserve">, which uses damped</w:t>
      </w:r>
    </w:p>
    <w:p>
      <w:pPr>
        <w:spacing w:after="120" w:line="276"/>
      </w:pPr>
      <w:r>
        <w:rPr>
          <w:sz w:val="22"/>
          <w:szCs w:val="22"/>
        </w:rPr>
        <w:t xml:space="preserve">   fixed-point iteration (~6 steps per rate) calling the tax engine on each step so    spousal support and taxes converge together. The province is forwarded to the tax    engine so BC or Ontario brackets, credits, and benefits are used correctly. Child    support amounts are auto-computed from children's details and incomes.</w:t>
      </w:r>
    </w:p>
    <w:p>
      <w:pPr>
        <w:spacing w:after="60"/>
        <w:ind w:left="360"/>
      </w:pPr>
      <w:r>
        <w:rPr>
          <w:sz w:val="22"/>
          <w:szCs w:val="22"/>
        </w:rPr>
        <w:t xml:space="preserve">5. Returns low/mid/high monthly and annual spousal support amounts, INDI (Individual</w:t>
      </w:r>
    </w:p>
    <w:p>
      <w:pPr>
        <w:spacing w:after="120" w:line="276"/>
      </w:pPr>
      <w:r>
        <w:rPr>
          <w:sz w:val="22"/>
          <w:szCs w:val="22"/>
        </w:rPr>
        <w:t xml:space="preserve">   Net Disposable Income) breakdowns, tax and benefit details for all three scenarios,    and duration ranges.</w:t>
      </w:r>
    </w:p>
    <w:p>
      <w:pPr>
        <w:spacing w:after="60"/>
        <w:ind w:left="360"/>
      </w:pPr>
      <w:r>
        <w:rPr>
          <w:sz w:val="22"/>
          <w:szCs w:val="22"/>
        </w:rPr>
        <w:t xml:space="preserve">6. The backend auto-generates a PDF report via ReportLab containing party details,</w:t>
      </w:r>
    </w:p>
    <w:p>
      <w:pPr>
        <w:spacing w:after="120" w:line="276"/>
      </w:pPr>
      <w:r>
        <w:rPr>
          <w:sz w:val="22"/>
          <w:szCs w:val="22"/>
        </w:rPr>
        <w:t xml:space="preserve">   relationship duration, the formula path used (without-children or with-children    iterative), low/mid/high monthly and annual spousal support amounts, INDI    breakdowns, tax and benefit line items, and the SSAG duration range.</w:t>
      </w:r>
    </w:p>
    <w:p>
      <w:pPr>
        <w:spacing w:after="60"/>
        <w:ind w:left="360"/>
      </w:pPr>
      <w:r>
        <w:rPr>
          <w:sz w:val="22"/>
          <w:szCs w:val="22"/>
        </w:rPr>
        <w:t xml:space="preserve">7. The frontend displays a </w:t>
      </w:r>
      <w:r>
        <w:rPr>
          <w:b/>
          <w:bCs/>
          <w:sz w:val="22"/>
          <w:szCs w:val="22"/>
        </w:rPr>
        <w:t xml:space="preserve">Download PDF Report</w:t>
      </w:r>
      <w:r>
        <w:rPr>
          <w:sz w:val="22"/>
          <w:szCs w:val="22"/>
        </w:rPr>
        <w:t xml:space="preserve"> button and a </w:t>
      </w:r>
      <w:r>
        <w:rPr>
          <w:b/>
          <w:bCs/>
          <w:sz w:val="22"/>
          <w:szCs w:val="22"/>
        </w:rPr>
        <w:t xml:space="preserve">Save to Matter</w:t>
      </w:r>
    </w:p>
    <w:p>
      <w:pPr>
        <w:spacing w:after="120" w:line="276"/>
      </w:pPr>
      <w:r>
        <w:rPr>
          <w:sz w:val="22"/>
          <w:szCs w:val="22"/>
        </w:rPr>
        <w:t xml:space="preserve">   button that persists the calculation result and PDF attachment to the matter record.</w:t>
      </w:r>
    </w:p>
    <w:p>
      <w:pPr>
        <w:pStyle w:val="Heading3"/>
        <w:spacing w:after="120" w:before="240"/>
      </w:pPr>
      <w:r>
        <w:rPr>
          <w:sz w:val="22"/>
          <w:szCs w:val="22"/>
        </w:rPr>
        <w:t xml:space="preserve">4. Spousal support AI chat workflow</w:t>
      </w:r>
    </w:p>
    <w:p>
      <w:pPr>
        <w:spacing w:after="60"/>
        <w:ind w:left="360"/>
      </w:pPr>
      <w:r>
        <w:rPr>
          <w:sz w:val="22"/>
          <w:szCs w:val="22"/>
        </w:rPr>
        <w:t xml:space="preserve">1. User opens the Spousal Support chat panel within the matter workflow. Like the</w:t>
      </w:r>
    </w:p>
    <w:p>
      <w:pPr>
        <w:spacing w:after="120" w:line="276"/>
      </w:pPr>
      <w:r>
        <w:rPr>
          <w:sz w:val="22"/>
          <w:szCs w:val="22"/>
        </w:rPr>
        <w:t xml:space="preserve">   child support panel, it auto-loads matter data with the same display/aiOnly split.</w:t>
      </w:r>
    </w:p>
    <w:p>
      <w:pPr>
        <w:spacing w:after="60"/>
        <w:ind w:left="360"/>
      </w:pPr>
      <w:r>
        <w:rPr>
          <w:sz w:val="22"/>
          <w:szCs w:val="22"/>
        </w:rPr>
        <w:t xml:space="preserve">2. Session metadata is hidden from the chat bubble; only matter data is shown. If no</w:t>
      </w:r>
    </w:p>
    <w:p>
      <w:pPr>
        <w:spacing w:after="120" w:line="276"/>
      </w:pPr>
      <w:r>
        <w:rPr>
          <w:sz w:val="22"/>
          <w:szCs w:val="22"/>
        </w:rPr>
        <w:t xml:space="preserve">   visible matter data exists, the bubble is hidden entirely.</w:t>
      </w:r>
    </w:p>
    <w:p>
      <w:pPr>
        <w:spacing w:after="60"/>
        <w:ind w:left="360"/>
      </w:pPr>
      <w:r>
        <w:rPr>
          <w:sz w:val="22"/>
          <w:szCs w:val="22"/>
        </w:rPr>
        <w:t xml:space="preserve">3. Browser POSTs to </w:t>
      </w:r>
      <w:r>
        <w:rPr>
          <w:rFonts w:ascii="Courier New" w:cs="Courier New" w:eastAsia="Courier New" w:hAnsi="Courier New"/>
          <w:sz w:val="20"/>
          <w:szCs w:val="20"/>
          <w:shd w:fill="E8E8E8" w:color="auto" w:val="clear"/>
        </w:rPr>
        <w:t xml:space="preserve">/spousal-chat</w:t>
      </w:r>
      <w:r>
        <w:rPr>
          <w:sz w:val="22"/>
          <w:szCs w:val="22"/>
        </w:rPr>
        <w:t xml:space="preserve">. The AI determines the correct path:</w:t>
      </w:r>
    </w:p>
    <w:p>
      <w:pPr>
        <w:spacing w:after="120" w:line="276"/>
      </w:pPr>
      <w:r>
        <w:rPr>
          <w:sz w:val="22"/>
          <w:szCs w:val="22"/>
        </w:rPr>
        <w:t xml:space="preserve">   - </w:t>
      </w:r>
      <w:r>
        <w:rPr>
          <w:b/>
          <w:bCs/>
          <w:sz w:val="22"/>
          <w:szCs w:val="22"/>
        </w:rPr>
        <w:t xml:space="preserve">Path A</w:t>
      </w:r>
      <w:r>
        <w:rPr>
          <w:sz w:val="22"/>
          <w:szCs w:val="22"/>
        </w:rPr>
        <w:t xml:space="preserve"> (no children or all children 18+): collects gross incomes, years of      relationship, and recipient age. Uses the without-children percentage formula.      Does not ask about deductions.    - </w:t>
      </w:r>
      <w:r>
        <w:rPr>
          <w:b/>
          <w:bCs/>
          <w:sz w:val="22"/>
          <w:szCs w:val="22"/>
        </w:rPr>
        <w:t xml:space="preserve">Path B</w:t>
      </w:r>
      <w:r>
        <w:rPr>
          <w:sz w:val="22"/>
          <w:szCs w:val="22"/>
        </w:rPr>
        <w:t xml:space="preserve"> (minor children present): collects gross incomes, both parties' ages,      children's DOBs and custody, and optional deductions (RRSP, child care). Uses the      iterative tax-converging formula. Child support amounts are auto-computed.</w:t>
      </w:r>
    </w:p>
    <w:p>
      <w:pPr>
        <w:spacing w:after="60"/>
        <w:ind w:left="360"/>
      </w:pPr>
      <w:r>
        <w:rPr>
          <w:sz w:val="22"/>
          <w:szCs w:val="22"/>
        </w:rPr>
        <w:t xml:space="preserve">4. Flask calls </w:t>
      </w:r>
      <w:r>
        <w:rPr>
          <w:rFonts w:ascii="Courier New" w:cs="Courier New" w:eastAsia="Courier New" w:hAnsi="Courier New"/>
          <w:sz w:val="20"/>
          <w:szCs w:val="20"/>
          <w:shd w:fill="E8E8E8" w:color="auto" w:val="clear"/>
        </w:rPr>
        <w:t xml:space="preserve">run_spousal_calc_tool()</w:t>
      </w:r>
      <w:r>
        <w:rPr>
          <w:sz w:val="22"/>
          <w:szCs w:val="22"/>
        </w:rPr>
        <w:t xml:space="preserve"> which routes to the appropriate formula and</w:t>
      </w:r>
    </w:p>
    <w:p>
      <w:pPr>
        <w:spacing w:after="120" w:line="276"/>
      </w:pPr>
      <w:r>
        <w:rPr>
          <w:sz w:val="22"/>
          <w:szCs w:val="22"/>
        </w:rPr>
        <w:t xml:space="preserve">   auto-generates a PDF report.</w:t>
      </w:r>
    </w:p>
    <w:p>
      <w:pPr>
        <w:spacing w:after="60"/>
        <w:ind w:left="360"/>
      </w:pPr>
      <w:r>
        <w:rPr>
          <w:sz w:val="22"/>
          <w:szCs w:val="22"/>
        </w:rPr>
        <w:t xml:space="preserve">5. Results include payor/recipient determination, low/mid/high spousal support</w:t>
      </w:r>
    </w:p>
    <w:p>
      <w:pPr>
        <w:spacing w:after="120" w:line="276"/>
      </w:pPr>
      <w:r>
        <w:rPr>
          <w:sz w:val="22"/>
          <w:szCs w:val="22"/>
        </w:rPr>
        <w:t xml:space="preserve">   amounts, INDI breakdowns (for the with-children path), and duration ranges.</w:t>
      </w:r>
    </w:p>
    <w:p>
      <w:pPr>
        <w:spacing w:after="60"/>
        <w:ind w:left="360"/>
      </w:pPr>
      <w:r>
        <w:rPr>
          <w:sz w:val="22"/>
          <w:szCs w:val="22"/>
        </w:rPr>
        <w:t xml:space="preserve">6. </w:t>
      </w:r>
      <w:r>
        <w:rPr>
          <w:b/>
          <w:bCs/>
          <w:sz w:val="22"/>
          <w:szCs w:val="22"/>
        </w:rPr>
        <w:t xml:space="preserve">Download PDF Report</w:t>
      </w:r>
      <w:r>
        <w:rPr>
          <w:sz w:val="22"/>
          <w:szCs w:val="22"/>
        </w:rPr>
        <w:t xml:space="preserve"> and </w:t>
      </w:r>
      <w:r>
        <w:rPr>
          <w:b/>
          <w:bCs/>
          <w:sz w:val="22"/>
          <w:szCs w:val="22"/>
        </w:rPr>
        <w:t xml:space="preserve">Save to Matter</w:t>
      </w:r>
      <w:r>
        <w:rPr>
          <w:sz w:val="22"/>
          <w:szCs w:val="22"/>
        </w:rPr>
        <w:t xml:space="preserve"> buttons are displayed, same as child</w:t>
      </w:r>
    </w:p>
    <w:p>
      <w:pPr>
        <w:spacing w:after="120" w:line="276"/>
      </w:pPr>
      <w:r>
        <w:rPr>
          <w:sz w:val="22"/>
          <w:szCs w:val="22"/>
        </w:rPr>
        <w:t xml:space="preserve">   support.</w:t>
      </w:r>
    </w:p>
    <w:p>
      <w:pPr>
        <w:pStyle w:val="Heading3"/>
        <w:spacing w:after="120" w:before="240"/>
      </w:pPr>
      <w:r>
        <w:rPr>
          <w:sz w:val="22"/>
          <w:szCs w:val="22"/>
        </w:rPr>
        <w:t xml:space="preserve">5. Matter intake AI chat workflow</w:t>
      </w:r>
    </w:p>
    <w:p>
      <w:pPr>
        <w:spacing w:after="60"/>
        <w:ind w:left="360"/>
      </w:pPr>
      <w:r>
        <w:rPr>
          <w:sz w:val="22"/>
          <w:szCs w:val="22"/>
        </w:rPr>
        <w:t xml:space="preserve">1. User opens the intake chat panel. Any existing matter data is loaded as context.</w:t>
      </w:r>
    </w:p>
    <w:p>
      <w:pPr>
        <w:spacing w:after="60"/>
        <w:ind w:left="360"/>
      </w:pPr>
      <w:r>
        <w:rPr>
          <w:sz w:val="22"/>
          <w:szCs w:val="22"/>
        </w:rPr>
        <w:t xml:space="preserve">2. The AI works through ten intake sections in order: Background, Relationship,</w:t>
      </w:r>
    </w:p>
    <w:p>
      <w:pPr>
        <w:spacing w:after="120" w:line="276"/>
      </w:pPr>
      <w:r>
        <w:rPr>
          <w:sz w:val="22"/>
          <w:szCs w:val="22"/>
        </w:rPr>
        <w:t xml:space="preserve">   Children, IncomeAndBenefits, EmploymentDetails, Expenses, Assets,    DebtsAndLiabilities, Court, and OtherPersonsInHousehold. It calls    </w:t>
      </w:r>
      <w:r>
        <w:rPr>
          <w:rFonts w:ascii="Courier New" w:cs="Courier New" w:eastAsia="Courier New" w:hAnsi="Courier New"/>
          <w:sz w:val="20"/>
          <w:szCs w:val="20"/>
          <w:shd w:fill="E8E8E8" w:color="auto" w:val="clear"/>
        </w:rPr>
        <w:t xml:space="preserve">save_matter_section</w:t>
      </w:r>
      <w:r>
        <w:rPr>
          <w:sz w:val="22"/>
          <w:szCs w:val="22"/>
        </w:rPr>
        <w:t xml:space="preserve"> for each section as data is collected.</w:t>
      </w:r>
    </w:p>
    <w:p>
      <w:pPr>
        <w:spacing w:after="60"/>
        <w:ind w:left="360"/>
      </w:pPr>
      <w:r>
        <w:rPr>
          <w:sz w:val="22"/>
          <w:szCs w:val="22"/>
        </w:rPr>
        <w:t xml:space="preserve">3. Each save is a PATCH — only new or changed fields are sent, preserving existing</w:t>
      </w:r>
    </w:p>
    <w:p>
      <w:pPr>
        <w:spacing w:after="120" w:line="276"/>
      </w:pPr>
      <w:r>
        <w:rPr>
          <w:sz w:val="22"/>
          <w:szCs w:val="22"/>
        </w:rPr>
        <w:t xml:space="preserve">   values. The endpoint never writes to the database itself; it returns collected    sections so the authenticated frontend persists them.</w:t>
      </w:r>
    </w:p>
    <w:p>
      <w:pPr>
        <w:spacing w:after="60"/>
        <w:ind w:left="360"/>
      </w:pPr>
      <w:r>
        <w:rPr>
          <w:sz w:val="22"/>
          <w:szCs w:val="22"/>
        </w:rPr>
        <w:t xml:space="preserve">4. A stall guard detects when the AI promises to save but does not emit tool calls,</w:t>
      </w:r>
    </w:p>
    <w:p>
      <w:pPr>
        <w:spacing w:after="120" w:line="276"/>
      </w:pPr>
      <w:r>
        <w:rPr>
          <w:sz w:val="22"/>
          <w:szCs w:val="22"/>
        </w:rPr>
        <w:t xml:space="preserve">   and nudges it to actually call the tool.</w:t>
      </w:r>
    </w:p>
    <w:p>
      <w:pPr>
        <w:spacing w:after="60"/>
        <w:ind w:left="360"/>
      </w:pPr>
      <w:r>
        <w:rPr>
          <w:sz w:val="22"/>
          <w:szCs w:val="22"/>
        </w:rPr>
        <w:t xml:space="preserve">5. When all required sections are complete, the AI sends a final "Intake complete and</w:t>
      </w:r>
    </w:p>
    <w:p>
      <w:pPr>
        <w:spacing w:after="120" w:line="276"/>
      </w:pPr>
      <w:r>
        <w:rPr>
          <w:sz w:val="22"/>
          <w:szCs w:val="22"/>
        </w:rPr>
        <w:t xml:space="preserve">   saved" summary.</w:t>
      </w:r>
    </w:p>
    <w:p>
      <w:pPr>
        <w:pStyle w:val="Heading3"/>
        <w:spacing w:after="120" w:before="240"/>
      </w:pPr>
      <w:r>
        <w:rPr>
          <w:sz w:val="22"/>
          <w:szCs w:val="22"/>
        </w:rPr>
        <w:t xml:space="preserve">6. Update information AI chat workflow</w:t>
      </w:r>
    </w:p>
    <w:p>
      <w:pPr>
        <w:spacing w:after="60"/>
        <w:ind w:left="360"/>
      </w:pPr>
      <w:r>
        <w:rPr>
          <w:sz w:val="22"/>
          <w:szCs w:val="22"/>
        </w:rPr>
        <w:t xml:space="preserve">1. Uses the same </w:t>
      </w:r>
      <w:r>
        <w:rPr>
          <w:rFonts w:ascii="Courier New" w:cs="Courier New" w:eastAsia="Courier New" w:hAnsi="Courier New"/>
          <w:sz w:val="20"/>
          <w:szCs w:val="20"/>
          <w:shd w:fill="E8E8E8" w:color="auto" w:val="clear"/>
        </w:rPr>
        <w:t xml:space="preserve">save_matter_section</w:t>
      </w:r>
      <w:r>
        <w:rPr>
          <w:sz w:val="22"/>
          <w:szCs w:val="22"/>
        </w:rPr>
        <w:t xml:space="preserve"> tool as intake but with a different system</w:t>
      </w:r>
    </w:p>
    <w:p>
      <w:pPr>
        <w:spacing w:after="120" w:line="276"/>
      </w:pPr>
      <w:r>
        <w:rPr>
          <w:sz w:val="22"/>
          <w:szCs w:val="22"/>
        </w:rPr>
        <w:t xml:space="preserve">   prompt focused on editing existing values.</w:t>
      </w:r>
    </w:p>
    <w:p>
      <w:pPr>
        <w:spacing w:after="60"/>
        <w:ind w:left="360"/>
      </w:pPr>
      <w:r>
        <w:rPr>
          <w:sz w:val="22"/>
          <w:szCs w:val="22"/>
        </w:rPr>
        <w:t xml:space="preserve">2. Opens with the current matter snapshot and asks what the user wants to change.</w:t>
      </w:r>
    </w:p>
    <w:p>
      <w:pPr>
        <w:spacing w:after="60"/>
        <w:ind w:left="360"/>
      </w:pPr>
      <w:r>
        <w:rPr>
          <w:sz w:val="22"/>
          <w:szCs w:val="22"/>
        </w:rPr>
        <w:t xml:space="preserve">3. For each change, the AI identifies the matching record, calls</w:t>
      </w:r>
    </w:p>
    <w:p>
      <w:pPr>
        <w:spacing w:after="120" w:line="276"/>
      </w:pPr>
      <w:r>
        <w:rPr>
          <w:sz w:val="22"/>
          <w:szCs w:val="22"/>
        </w:rPr>
        <w:t xml:space="preserve">   </w:t>
      </w:r>
      <w:r>
        <w:rPr>
          <w:rFonts w:ascii="Courier New" w:cs="Courier New" w:eastAsia="Courier New" w:hAnsi="Courier New"/>
          <w:sz w:val="20"/>
          <w:szCs w:val="20"/>
          <w:shd w:fill="E8E8E8" w:color="auto" w:val="clear"/>
        </w:rPr>
        <w:t xml:space="preserve">save_matter_section</w:t>
      </w:r>
      <w:r>
        <w:rPr>
          <w:sz w:val="22"/>
          <w:szCs w:val="22"/>
        </w:rPr>
        <w:t xml:space="preserve"> with a minimal patch, and reports the change as "Updated    [field] from [old] to [new]".</w:t>
      </w:r>
    </w:p>
    <w:p>
      <w:pPr>
        <w:spacing w:after="60"/>
        <w:ind w:left="360"/>
      </w:pPr>
      <w:r>
        <w:rPr>
          <w:sz w:val="22"/>
          <w:szCs w:val="22"/>
        </w:rPr>
        <w:t xml:space="preserve">4. Never runs a fresh intake — stays available for as many individual changes as the</w:t>
      </w:r>
    </w:p>
    <w:p>
      <w:pPr>
        <w:spacing w:after="120" w:line="276"/>
      </w:pPr>
      <w:r>
        <w:rPr>
          <w:sz w:val="22"/>
          <w:szCs w:val="22"/>
        </w:rPr>
        <w:t xml:space="preserve">   user wants.</w:t>
      </w:r>
    </w:p>
    <w:p>
      <w:pPr>
        <w:pStyle w:val="Heading3"/>
        <w:spacing w:after="120" w:before="240"/>
      </w:pPr>
      <w:r>
        <w:rPr>
          <w:sz w:val="22"/>
          <w:szCs w:val="22"/>
        </w:rPr>
        <w:t xml:space="preserve">7. Tax calculator AI chat workflow</w:t>
      </w:r>
    </w:p>
    <w:p>
      <w:pPr>
        <w:spacing w:after="60"/>
        <w:ind w:left="360"/>
      </w:pPr>
      <w:r>
        <w:rPr>
          <w:sz w:val="22"/>
          <w:szCs w:val="22"/>
        </w:rPr>
        <w:t xml:space="preserve">1. The AI collects age, tax year, disability status, income sources (employment,</w:t>
      </w:r>
    </w:p>
    <w:p>
      <w:pPr>
        <w:spacing w:after="120" w:line="276"/>
      </w:pPr>
      <w:r>
        <w:rPr>
          <w:sz w:val="22"/>
          <w:szCs w:val="22"/>
        </w:rPr>
        <w:t xml:space="preserve">   self-employment, other, support received, support paid), deductions (child care,    other), and children's details.</w:t>
      </w:r>
    </w:p>
    <w:p>
      <w:pPr>
        <w:spacing w:after="60"/>
        <w:ind w:left="360"/>
      </w:pPr>
      <w:r>
        <w:rPr>
          <w:sz w:val="22"/>
          <w:szCs w:val="22"/>
        </w:rPr>
        <w:t xml:space="preserve">2. It calls the </w:t>
      </w:r>
      <w:r>
        <w:rPr>
          <w:rFonts w:ascii="Courier New" w:cs="Courier New" w:eastAsia="Courier New" w:hAnsi="Courier New"/>
          <w:sz w:val="20"/>
          <w:szCs w:val="20"/>
          <w:shd w:fill="E8E8E8" w:color="auto" w:val="clear"/>
        </w:rPr>
        <w:t xml:space="preserve">calculate_taxes</w:t>
      </w:r>
      <w:r>
        <w:rPr>
          <w:sz w:val="22"/>
          <w:szCs w:val="22"/>
        </w:rPr>
        <w:t xml:space="preserve"> tool which runs the full tax engine. The tool</w:t>
      </w:r>
    </w:p>
    <w:p>
      <w:pPr>
        <w:spacing w:after="120" w:line="276"/>
      </w:pPr>
      <w:r>
        <w:rPr>
          <w:sz w:val="22"/>
          <w:szCs w:val="22"/>
        </w:rPr>
        <w:t xml:space="preserve">   accepts an optional </w:t>
      </w:r>
      <w:r>
        <w:rPr>
          <w:rFonts w:ascii="Courier New" w:cs="Courier New" w:eastAsia="Courier New" w:hAnsi="Courier New"/>
          <w:sz w:val="20"/>
          <w:szCs w:val="20"/>
          <w:shd w:fill="E8E8E8" w:color="auto" w:val="clear"/>
        </w:rPr>
        <w:t xml:space="preserve">province</w:t>
      </w:r>
      <w:r>
        <w:rPr>
          <w:sz w:val="22"/>
          <w:szCs w:val="22"/>
        </w:rPr>
        <w:t xml:space="preserve"> parameter (</w:t>
      </w:r>
      <w:r>
        <w:rPr>
          <w:rFonts w:ascii="Courier New" w:cs="Courier New" w:eastAsia="Courier New" w:hAnsi="Courier New"/>
          <w:sz w:val="20"/>
          <w:szCs w:val="20"/>
          <w:shd w:fill="E8E8E8" w:color="auto" w:val="clear"/>
        </w:rPr>
        <w:t xml:space="preserve">"ON"</w:t>
      </w:r>
      <w:r>
        <w:rPr>
          <w:sz w:val="22"/>
          <w:szCs w:val="22"/>
        </w:rPr>
        <w:t xml:space="preserve">, </w:t>
      </w:r>
      <w:r>
        <w:rPr>
          <w:rFonts w:ascii="Courier New" w:cs="Courier New" w:eastAsia="Courier New" w:hAnsi="Courier New"/>
          <w:sz w:val="20"/>
          <w:szCs w:val="20"/>
          <w:shd w:fill="E8E8E8" w:color="auto" w:val="clear"/>
        </w:rPr>
        <w:t xml:space="preserve">"BC"</w:t>
      </w:r>
      <w:r>
        <w:rPr>
          <w:sz w:val="22"/>
          <w:szCs w:val="22"/>
        </w:rPr>
        <w:t xml:space="preserve">, </w:t>
      </w:r>
      <w:r>
        <w:rPr>
          <w:rFonts w:ascii="Courier New" w:cs="Courier New" w:eastAsia="Courier New" w:hAnsi="Courier New"/>
          <w:sz w:val="20"/>
          <w:szCs w:val="20"/>
          <w:shd w:fill="E8E8E8" w:color="auto" w:val="clear"/>
        </w:rPr>
        <w:t xml:space="preserve">"AB"</w:t>
      </w:r>
      <w:r>
        <w:rPr>
          <w:sz w:val="22"/>
          <w:szCs w:val="22"/>
        </w:rPr>
        <w:t xml:space="preserve">, </w:t>
      </w:r>
      <w:r>
        <w:rPr>
          <w:rFonts w:ascii="Courier New" w:cs="Courier New" w:eastAsia="Courier New" w:hAnsi="Courier New"/>
          <w:sz w:val="20"/>
          <w:szCs w:val="20"/>
          <w:shd w:fill="E8E8E8" w:color="auto" w:val="clear"/>
        </w:rPr>
        <w:t xml:space="preserve">"SK"</w:t>
      </w:r>
      <w:r>
        <w:rPr>
          <w:sz w:val="22"/>
          <w:szCs w:val="22"/>
        </w:rPr>
        <w:t xml:space="preserve">, or </w:t>
      </w:r>
      <w:r>
        <w:rPr>
          <w:rFonts w:ascii="Courier New" w:cs="Courier New" w:eastAsia="Courier New" w:hAnsi="Courier New"/>
          <w:sz w:val="20"/>
          <w:szCs w:val="20"/>
          <w:shd w:fill="E8E8E8" w:color="auto" w:val="clear"/>
        </w:rPr>
        <w:t xml:space="preserve">"MB"</w:t>
      </w:r>
      <w:r>
        <w:rPr>
          <w:sz w:val="22"/>
          <w:szCs w:val="22"/>
        </w:rPr>
        <w:t xml:space="preserve">, defaults to </w:t>
      </w:r>
      <w:r>
        <w:rPr>
          <w:rFonts w:ascii="Courier New" w:cs="Courier New" w:eastAsia="Courier New" w:hAnsi="Courier New"/>
          <w:sz w:val="20"/>
          <w:szCs w:val="20"/>
          <w:shd w:fill="E8E8E8" w:color="auto" w:val="clear"/>
        </w:rPr>
        <w:t xml:space="preserve">"ON"</w:t>
      </w:r>
      <w:r>
        <w:rPr>
          <w:sz w:val="22"/>
          <w:szCs w:val="22"/>
        </w:rPr>
        <w:t xml:space="preserve">).    The engine computes federal/provincial brackets, CPP/EI, and province-specific    items for all five provinces (see </w:t>
      </w:r>
      <w:r>
        <w:rPr>
          <w:color w:val="2B579A"/>
          <w:sz w:val="22"/>
          <w:szCs w:val="22"/>
          <w:u w:val="single"/>
        </w:rPr>
        <w:t xml:space="preserve">TAXES.md</w:t>
      </w:r>
      <w:r>
        <w:rPr>
          <w:sz w:val="22"/>
          <w:szCs w:val="22"/>
        </w:rPr>
        <w:t xml:space="preserve"> for full details).</w:t>
      </w:r>
    </w:p>
    <w:p>
      <w:pPr>
        <w:spacing w:after="60"/>
        <w:ind w:left="360"/>
      </w:pPr>
      <w:r>
        <w:rPr>
          <w:sz w:val="22"/>
          <w:szCs w:val="22"/>
        </w:rPr>
        <w:t xml:space="preserve">3. Returns a comprehensive breakdown with every line item, displayed as a formatted</w:t>
      </w:r>
    </w:p>
    <w:p>
      <w:pPr>
        <w:spacing w:after="120" w:line="276"/>
      </w:pPr>
      <w:r>
        <w:rPr>
          <w:sz w:val="22"/>
          <w:szCs w:val="22"/>
        </w:rPr>
        <w:t xml:space="preserve">   table.</w:t>
      </w:r>
    </w:p>
    <w:p>
      <w:pPr>
        <w:pBdr>
          <w:left w:val="single" w:color="4472C4" w:sz="6" w:space="10"/>
        </w:pBdr>
        <w:shd w:fill="F2F7FC" w:color="auto" w:val="clear"/>
        <w:spacing w:after="120"/>
        <w:ind w:left="720"/>
      </w:pPr>
      <w:r>
        <w:rPr>
          <w:b/>
          <w:bCs/>
          <w:sz w:val="22"/>
          <w:szCs w:val="22"/>
        </w:rPr>
        <w:t xml:space="preserve">Current AI prompt limitation.</w:t>
      </w:r>
      <w:r>
        <w:rPr>
          <w:sz w:val="22"/>
          <w:szCs w:val="22"/>
        </w:rPr>
        <w:t xml:space="preserve"> The tax chat system prompt currently instructs Claude to handle "Ontario income tax only" (2024 or 2025) and decline other provinces. The underlying </w:t>
      </w:r>
      <w:r>
        <w:rPr>
          <w:rFonts w:ascii="Courier New" w:cs="Courier New" w:eastAsia="Courier New" w:hAnsi="Courier New"/>
          <w:sz w:val="20"/>
          <w:szCs w:val="20"/>
          <w:shd w:fill="E8E8E8" w:color="auto" w:val="clear"/>
        </w:rPr>
        <w:t xml:space="preserve">calculate_taxes</w:t>
      </w:r>
      <w:r>
        <w:rPr>
          <w:sz w:val="22"/>
          <w:szCs w:val="22"/>
        </w:rPr>
        <w:t xml:space="preserve"> function and </w:t>
      </w:r>
      <w:r>
        <w:rPr>
          <w:rFonts w:ascii="Courier New" w:cs="Courier New" w:eastAsia="Courier New" w:hAnsi="Courier New"/>
          <w:sz w:val="20"/>
          <w:szCs w:val="20"/>
          <w:shd w:fill="E8E8E8" w:color="auto" w:val="clear"/>
        </w:rPr>
        <w:t xml:space="preserve">TaxInput</w:t>
      </w:r>
      <w:r>
        <w:rPr>
          <w:sz w:val="22"/>
          <w:szCs w:val="22"/>
        </w:rPr>
        <w:t xml:space="preserve"> dataclass fully support all five provinces (ON, BC, AB, SK, MB), and the child support, spousal support, and spousal chat workflows already call the tax engine with any supported province. Updating the tax chat system prompt to offer all provinces as options is a straightforward change.</w:t>
      </w:r>
    </w:p>
    <w:p>
      <w:pPr>
        <w:pBdr>
          <w:bottom w:val="single" w:color="BFBFBF" w:sz="6"/>
        </w:pBdr>
        <w:spacing w:after="120" w:before="120"/>
      </w:pPr>
    </w:p>
    <w:p>
      <w:pPr>
        <w:pStyle w:val="Heading2"/>
        <w:spacing w:after="120" w:before="240"/>
      </w:pPr>
      <w:r>
        <w:rPr>
          <w:sz w:val="22"/>
          <w:szCs w:val="22"/>
        </w:rPr>
        <w:t xml:space="preserve">AI chat panel architecture</w:t>
      </w:r>
    </w:p>
    <w:p>
      <w:pPr>
        <w:spacing w:after="120" w:line="276"/>
      </w:pPr>
      <w:r>
        <w:rPr>
          <w:sz w:val="22"/>
          <w:szCs w:val="22"/>
        </w:rPr>
        <w:t xml:space="preserve">Both the Child Support and Spousal Support chat panels (</w:t>
      </w:r>
      <w:r>
        <w:rPr>
          <w:color w:val="2B579A"/>
          <w:sz w:val="22"/>
          <w:szCs w:val="22"/>
          <w:u w:val="single"/>
        </w:rPr>
        <w:t xml:space="preserve">ChildSupportChatPanel.jsx</w:t>
      </w:r>
      <w:r>
        <w:rPr>
          <w:sz w:val="22"/>
          <w:szCs w:val="22"/>
        </w:rPr>
        <w:t xml:space="preserve"> and </w:t>
      </w:r>
      <w:r>
        <w:rPr>
          <w:color w:val="2B579A"/>
          <w:sz w:val="22"/>
          <w:szCs w:val="22"/>
          <w:u w:val="single"/>
        </w:rPr>
        <w:t xml:space="preserve">SpousalSupportChatPanel.jsx</w:t>
      </w:r>
      <w:r>
        <w:rPr>
          <w:sz w:val="22"/>
          <w:szCs w:val="22"/>
        </w:rPr>
        <w:t xml:space="preserve">) share a common architecture for handling matter context. The intake and update panels follow the same pattern.</w:t>
      </w:r>
    </w:p>
    <w:p>
      <w:pPr>
        <w:pStyle w:val="Heading3"/>
        <w:spacing w:after="120" w:before="240"/>
      </w:pPr>
      <w:r>
        <w:rPr>
          <w:sz w:val="22"/>
          <w:szCs w:val="22"/>
        </w:rPr>
        <w:t xml:space="preserve">Context message construction (</w:t>
      </w:r>
      <w:r>
        <w:rPr>
          <w:rFonts w:ascii="Courier New" w:cs="Courier New" w:eastAsia="Courier New" w:hAnsi="Courier New"/>
          <w:sz w:val="20"/>
          <w:szCs w:val="20"/>
          <w:shd w:fill="E8E8E8" w:color="auto" w:val="clear"/>
        </w:rPr>
        <w:t xml:space="preserve">buildContextMessage</w:t>
      </w:r>
      <w:r>
        <w:rPr>
          <w:sz w:val="22"/>
          <w:szCs w:val="22"/>
        </w:rPr>
        <w:t xml:space="preserve">)</w:t>
      </w:r>
    </w:p>
    <w:p>
      <w:pPr>
        <w:spacing w:after="120" w:line="276"/>
      </w:pPr>
      <w:r>
        <w:rPr>
          <w:sz w:val="22"/>
          <w:szCs w:val="22"/>
        </w:rPr>
        <w:t xml:space="preserve">The </w:t>
      </w:r>
      <w:r>
        <w:rPr>
          <w:rFonts w:ascii="Courier New" w:cs="Courier New" w:eastAsia="Courier New" w:hAnsi="Courier New"/>
          <w:sz w:val="20"/>
          <w:szCs w:val="20"/>
          <w:shd w:fill="E8E8E8" w:color="auto" w:val="clear"/>
        </w:rPr>
        <w:t xml:space="preserve">buildContextMessage</w:t>
      </w:r>
      <w:r>
        <w:rPr>
          <w:sz w:val="22"/>
          <w:szCs w:val="22"/>
        </w:rPr>
        <w:t xml:space="preserve"> function returns an object with two properties: </w:t>
      </w:r>
      <w:r>
        <w:rPr>
          <w:rFonts w:ascii="Courier New" w:cs="Courier New" w:eastAsia="Courier New" w:hAnsi="Courier New"/>
          <w:sz w:val="20"/>
          <w:szCs w:val="20"/>
          <w:shd w:fill="E8E8E8" w:color="auto" w:val="clear"/>
        </w:rPr>
        <w:t xml:space="preserve">display</w:t>
      </w:r>
      <w:r>
        <w:rPr>
          <w:sz w:val="22"/>
          <w:szCs w:val="22"/>
        </w:rPr>
        <w:t xml:space="preserve"> (what the user sees in the chat bubble) and </w:t>
      </w:r>
      <w:r>
        <w:rPr>
          <w:rFonts w:ascii="Courier New" w:cs="Courier New" w:eastAsia="Courier New" w:hAnsi="Courier New"/>
          <w:sz w:val="20"/>
          <w:szCs w:val="20"/>
          <w:shd w:fill="E8E8E8" w:color="auto" w:val="clear"/>
        </w:rPr>
        <w:t xml:space="preserve">ai</w:t>
      </w:r>
      <w:r>
        <w:rPr>
          <w:sz w:val="22"/>
          <w:szCs w:val="22"/>
        </w:rPr>
        <w:t xml:space="preserve"> (what is sent to the AI). This separation ensures the AI has full context while the user interface remains clean.</w:t>
      </w:r>
    </w:p>
    <w:p>
      <w:pPr>
        <w:spacing w:after="120" w:line="276"/>
      </w:pPr>
      <w:r>
        <w:rPr>
          <w:b/>
          <w:bCs/>
          <w:sz w:val="22"/>
          <w:szCs w:val="22"/>
        </w:rPr>
        <w:t xml:space="preserve">Session metadata</w:t>
      </w:r>
      <w:r>
        <w:rPr>
          <w:sz w:val="22"/>
          <w:szCs w:val="22"/>
        </w:rPr>
        <w:t xml:space="preserve"> — law firm name, firm ID, lawyer/user name, province, matter number, and client name — is placed in an </w:t>
      </w:r>
      <w:r>
        <w:rPr>
          <w:rFonts w:ascii="Courier New" w:cs="Courier New" w:eastAsia="Courier New" w:hAnsi="Courier New"/>
          <w:sz w:val="20"/>
          <w:szCs w:val="20"/>
          <w:shd w:fill="E8E8E8" w:color="auto" w:val="clear"/>
        </w:rPr>
        <w:t xml:space="preserve">aiOnly</w:t>
      </w:r>
      <w:r>
        <w:rPr>
          <w:sz w:val="22"/>
          <w:szCs w:val="22"/>
        </w:rPr>
        <w:t xml:space="preserve"> array. This data is included in the </w:t>
      </w:r>
      <w:r>
        <w:rPr>
          <w:rFonts w:ascii="Courier New" w:cs="Courier New" w:eastAsia="Courier New" w:hAnsi="Courier New"/>
          <w:sz w:val="20"/>
          <w:szCs w:val="20"/>
          <w:shd w:fill="E8E8E8" w:color="auto" w:val="clear"/>
        </w:rPr>
        <w:t xml:space="preserve">ai</w:t>
      </w:r>
      <w:r>
        <w:rPr>
          <w:sz w:val="22"/>
          <w:szCs w:val="22"/>
        </w:rPr>
        <w:t xml:space="preserve"> text sent to Claude but excluded from the </w:t>
      </w:r>
      <w:r>
        <w:rPr>
          <w:rFonts w:ascii="Courier New" w:cs="Courier New" w:eastAsia="Courier New" w:hAnsi="Courier New"/>
          <w:sz w:val="20"/>
          <w:szCs w:val="20"/>
          <w:shd w:fill="E8E8E8" w:color="auto" w:val="clear"/>
        </w:rPr>
        <w:t xml:space="preserve">display</w:t>
      </w:r>
      <w:r>
        <w:rPr>
          <w:sz w:val="22"/>
          <w:szCs w:val="22"/>
        </w:rPr>
        <w:t xml:space="preserve"> text shown in the chat bubble.</w:t>
      </w:r>
    </w:p>
    <w:p>
      <w:pPr>
        <w:spacing w:after="120" w:line="276"/>
      </w:pPr>
      <w:r>
        <w:rPr>
          <w:b/>
          <w:bCs/>
          <w:sz w:val="22"/>
          <w:szCs w:val="22"/>
        </w:rPr>
        <w:t xml:space="preserve">Matter data</w:t>
      </w:r>
      <w:r>
        <w:rPr>
          <w:sz w:val="22"/>
          <w:szCs w:val="22"/>
        </w:rPr>
        <w:t xml:space="preserve"> — party names, dates of birth, addresses, relationship details, children, incomes, expenses, assets, debts, and court information — is formatted via the </w:t>
      </w:r>
      <w:r>
        <w:rPr>
          <w:rFonts w:ascii="Courier New" w:cs="Courier New" w:eastAsia="Courier New" w:hAnsi="Courier New"/>
          <w:sz w:val="20"/>
          <w:szCs w:val="20"/>
          <w:shd w:fill="E8E8E8" w:color="auto" w:val="clear"/>
        </w:rPr>
        <w:t xml:space="preserve">formatSections</w:t>
      </w:r>
      <w:r>
        <w:rPr>
          <w:sz w:val="22"/>
          <w:szCs w:val="22"/>
        </w:rPr>
        <w:t xml:space="preserve"> function and included in both </w:t>
      </w:r>
      <w:r>
        <w:rPr>
          <w:rFonts w:ascii="Courier New" w:cs="Courier New" w:eastAsia="Courier New" w:hAnsi="Courier New"/>
          <w:sz w:val="20"/>
          <w:szCs w:val="20"/>
          <w:shd w:fill="E8E8E8" w:color="auto" w:val="clear"/>
        </w:rPr>
        <w:t xml:space="preserve">display</w:t>
      </w:r>
      <w:r>
        <w:rPr>
          <w:sz w:val="22"/>
          <w:szCs w:val="22"/>
        </w:rPr>
        <w:t xml:space="preserve"> and </w:t>
      </w:r>
      <w:r>
        <w:rPr>
          <w:rFonts w:ascii="Courier New" w:cs="Courier New" w:eastAsia="Courier New" w:hAnsi="Courier New"/>
          <w:sz w:val="20"/>
          <w:szCs w:val="20"/>
          <w:shd w:fill="E8E8E8" w:color="auto" w:val="clear"/>
        </w:rPr>
        <w:t xml:space="preserve">ai</w:t>
      </w:r>
      <w:r>
        <w:rPr>
          <w:sz w:val="22"/>
          <w:szCs w:val="22"/>
        </w:rPr>
        <w:t xml:space="preserve">.</w:t>
      </w:r>
    </w:p>
    <w:p>
      <w:pPr>
        <w:spacing w:after="120" w:line="276"/>
      </w:pPr>
      <w:r>
        <w:rPr>
          <w:sz w:val="22"/>
          <w:szCs w:val="22"/>
        </w:rPr>
        <w:t xml:space="preserve">When there is no visible matter data (only session metadata), </w:t>
      </w:r>
      <w:r>
        <w:rPr>
          <w:rFonts w:ascii="Courier New" w:cs="Courier New" w:eastAsia="Courier New" w:hAnsi="Courier New"/>
          <w:sz w:val="20"/>
          <w:szCs w:val="20"/>
          <w:shd w:fill="E8E8E8" w:color="auto" w:val="clear"/>
        </w:rPr>
        <w:t xml:space="preserve">display</w:t>
      </w:r>
      <w:r>
        <w:rPr>
          <w:sz w:val="22"/>
          <w:szCs w:val="22"/>
        </w:rPr>
        <w:t xml:space="preserve"> returns </w:t>
      </w:r>
      <w:r>
        <w:rPr>
          <w:rFonts w:ascii="Courier New" w:cs="Courier New" w:eastAsia="Courier New" w:hAnsi="Courier New"/>
          <w:sz w:val="20"/>
          <w:szCs w:val="20"/>
          <w:shd w:fill="E8E8E8" w:color="auto" w:val="clear"/>
        </w:rPr>
        <w:t xml:space="preserve">null</w:t>
      </w:r>
      <w:r>
        <w:rPr>
          <w:sz w:val="22"/>
          <w:szCs w:val="22"/>
        </w:rPr>
        <w:t xml:space="preserve">. The send function checks for </w:t>
      </w:r>
      <w:r>
        <w:rPr>
          <w:rFonts w:ascii="Courier New" w:cs="Courier New" w:eastAsia="Courier New" w:hAnsi="Courier New"/>
          <w:sz w:val="20"/>
          <w:szCs w:val="20"/>
          <w:shd w:fill="E8E8E8" w:color="auto" w:val="clear"/>
        </w:rPr>
        <w:t xml:space="preserve">displayText === null</w:t>
      </w:r>
      <w:r>
        <w:rPr>
          <w:sz w:val="22"/>
          <w:szCs w:val="22"/>
        </w:rPr>
        <w:t xml:space="preserve"> and hides the user bubble entirely, preventing an empty or metadata-only bubble from appearing. The AI still receives all information it needs via the </w:t>
      </w:r>
      <w:r>
        <w:rPr>
          <w:rFonts w:ascii="Courier New" w:cs="Courier New" w:eastAsia="Courier New" w:hAnsi="Courier New"/>
          <w:sz w:val="20"/>
          <w:szCs w:val="20"/>
          <w:shd w:fill="E8E8E8" w:color="auto" w:val="clear"/>
        </w:rPr>
        <w:t xml:space="preserve">ai</w:t>
      </w:r>
      <w:r>
        <w:rPr>
          <w:sz w:val="22"/>
          <w:szCs w:val="22"/>
        </w:rPr>
        <w:t xml:space="preserve"> text.</w:t>
      </w:r>
    </w:p>
    <w:p>
      <w:pPr>
        <w:pStyle w:val="Heading3"/>
        <w:spacing w:after="120" w:before="240"/>
      </w:pPr>
      <w:r>
        <w:rPr>
          <w:sz w:val="22"/>
          <w:szCs w:val="22"/>
        </w:rPr>
        <w:t xml:space="preserve">The </w:t>
      </w:r>
      <w:r>
        <w:rPr>
          <w:rFonts w:ascii="Courier New" w:cs="Courier New" w:eastAsia="Courier New" w:hAnsi="Courier New"/>
          <w:sz w:val="20"/>
          <w:szCs w:val="20"/>
          <w:shd w:fill="E8E8E8" w:color="auto" w:val="clear"/>
        </w:rPr>
        <w:t xml:space="preserve">send</w:t>
      </w:r>
      <w:r>
        <w:rPr>
          <w:sz w:val="22"/>
          <w:szCs w:val="22"/>
        </w:rPr>
        <w:t xml:space="preserve"> function</w:t>
      </w:r>
    </w:p>
    <w:p>
      <w:pPr>
        <w:spacing w:after="120" w:line="276"/>
      </w:pPr>
      <w:r>
        <w:rPr>
          <w:rFonts w:ascii="Courier New" w:cs="Courier New" w:eastAsia="Courier New" w:hAnsi="Courier New"/>
          <w:sz w:val="20"/>
          <w:szCs w:val="20"/>
          <w:shd w:fill="E8E8E8" w:color="auto" w:val="clear"/>
        </w:rPr>
        <w:t xml:space="preserve">send(text, displayText)</w:t>
      </w:r>
      <w:r>
        <w:rPr>
          <w:sz w:val="22"/>
          <w:szCs w:val="22"/>
        </w:rPr>
        <w:t xml:space="preserve"> accepts two parameters: </w:t>
      </w:r>
      <w:r>
        <w:rPr>
          <w:rFonts w:ascii="Courier New" w:cs="Courier New" w:eastAsia="Courier New" w:hAnsi="Courier New"/>
          <w:sz w:val="20"/>
          <w:szCs w:val="20"/>
          <w:shd w:fill="E8E8E8" w:color="auto" w:val="clear"/>
        </w:rPr>
        <w:t xml:space="preserve">text</w:t>
      </w:r>
      <w:r>
        <w:rPr>
          <w:sz w:val="22"/>
          <w:szCs w:val="22"/>
        </w:rPr>
        <w:t xml:space="preserve"> (sent to the AI) and </w:t>
      </w:r>
      <w:r>
        <w:rPr>
          <w:rFonts w:ascii="Courier New" w:cs="Courier New" w:eastAsia="Courier New" w:hAnsi="Courier New"/>
          <w:sz w:val="20"/>
          <w:szCs w:val="20"/>
          <w:shd w:fill="E8E8E8" w:color="auto" w:val="clear"/>
        </w:rPr>
        <w:t xml:space="preserve">displayText</w:t>
      </w:r>
      <w:r>
        <w:rPr>
          <w:sz w:val="22"/>
          <w:szCs w:val="22"/>
        </w:rPr>
        <w:t xml:space="preserve"> (shown in the chat bubble).</w:t>
      </w:r>
    </w:p>
    <w:p>
      <w:pPr>
        <w:pStyle w:val="ListParagraph"/>
        <w:numPr>
          <w:ilvl w:val="0"/>
          <w:numId w:val="1"/>
        </w:numPr>
        <w:spacing w:after="60"/>
      </w:pPr>
      <w:r>
        <w:rPr>
          <w:sz w:val="22"/>
          <w:szCs w:val="22"/>
        </w:rPr>
        <w:t xml:space="preserve">When </w:t>
      </w:r>
      <w:r>
        <w:rPr>
          <w:rFonts w:ascii="Courier New" w:cs="Courier New" w:eastAsia="Courier New" w:hAnsi="Courier New"/>
          <w:sz w:val="20"/>
          <w:szCs w:val="20"/>
          <w:shd w:fill="E8E8E8" w:color="auto" w:val="clear"/>
        </w:rPr>
        <w:t xml:space="preserve">displayText</w:t>
      </w:r>
      <w:r>
        <w:rPr>
          <w:sz w:val="22"/>
          <w:szCs w:val="22"/>
        </w:rPr>
        <w:t xml:space="preserve"> is explicitly </w:t>
      </w:r>
      <w:r>
        <w:rPr>
          <w:rFonts w:ascii="Courier New" w:cs="Courier New" w:eastAsia="Courier New" w:hAnsi="Courier New"/>
          <w:sz w:val="20"/>
          <w:szCs w:val="20"/>
          <w:shd w:fill="E8E8E8" w:color="auto" w:val="clear"/>
        </w:rPr>
        <w:t xml:space="preserve">null</w:t>
      </w:r>
      <w:r>
        <w:rPr>
          <w:sz w:val="22"/>
          <w:szCs w:val="22"/>
        </w:rPr>
        <w:t xml:space="preserve">, the </w:t>
      </w:r>
      <w:r>
        <w:rPr>
          <w:rFonts w:ascii="Courier New" w:cs="Courier New" w:eastAsia="Courier New" w:hAnsi="Courier New"/>
          <w:sz w:val="20"/>
          <w:szCs w:val="20"/>
          <w:shd w:fill="E8E8E8" w:color="auto" w:val="clear"/>
        </w:rPr>
        <w:t xml:space="preserve">const hideUserBubble = displayText === null</w:t>
      </w:r>
      <w:r>
        <w:rPr>
          <w:sz w:val="22"/>
          <w:szCs w:val="22"/>
        </w:rPr>
        <w:t xml:space="preserve"> check triggers and no user bubble is rendered.</w:t>
      </w:r>
    </w:p>
    <w:p>
      <w:pPr>
        <w:pStyle w:val="ListParagraph"/>
        <w:numPr>
          <w:ilvl w:val="0"/>
          <w:numId w:val="1"/>
        </w:numPr>
        <w:spacing w:after="60"/>
      </w:pPr>
      <w:r>
        <w:rPr>
          <w:sz w:val="22"/>
          <w:szCs w:val="22"/>
        </w:rPr>
        <w:t xml:space="preserve">When </w:t>
      </w:r>
      <w:r>
        <w:rPr>
          <w:rFonts w:ascii="Courier New" w:cs="Courier New" w:eastAsia="Courier New" w:hAnsi="Courier New"/>
          <w:sz w:val="20"/>
          <w:szCs w:val="20"/>
          <w:shd w:fill="E8E8E8" w:color="auto" w:val="clear"/>
        </w:rPr>
        <w:t xml:space="preserve">displayText</w:t>
      </w:r>
      <w:r>
        <w:rPr>
          <w:sz w:val="22"/>
          <w:szCs w:val="22"/>
        </w:rPr>
        <w:t xml:space="preserve"> is a string, it is shown as the bubble content.</w:t>
      </w:r>
    </w:p>
    <w:p>
      <w:pPr>
        <w:pStyle w:val="ListParagraph"/>
        <w:numPr>
          <w:ilvl w:val="0"/>
          <w:numId w:val="1"/>
        </w:numPr>
        <w:spacing w:after="60"/>
      </w:pPr>
      <w:r>
        <w:rPr>
          <w:sz w:val="22"/>
          <w:szCs w:val="22"/>
        </w:rPr>
        <w:t xml:space="preserve">When </w:t>
      </w:r>
      <w:r>
        <w:rPr>
          <w:rFonts w:ascii="Courier New" w:cs="Courier New" w:eastAsia="Courier New" w:hAnsi="Courier New"/>
          <w:sz w:val="20"/>
          <w:szCs w:val="20"/>
          <w:shd w:fill="E8E8E8" w:color="auto" w:val="clear"/>
        </w:rPr>
        <w:t xml:space="preserve">displayText</w:t>
      </w:r>
      <w:r>
        <w:rPr>
          <w:sz w:val="22"/>
          <w:szCs w:val="22"/>
        </w:rPr>
        <w:t xml:space="preserve"> is </w:t>
      </w:r>
      <w:r>
        <w:rPr>
          <w:rFonts w:ascii="Courier New" w:cs="Courier New" w:eastAsia="Courier New" w:hAnsi="Courier New"/>
          <w:sz w:val="20"/>
          <w:szCs w:val="20"/>
          <w:shd w:fill="E8E8E8" w:color="auto" w:val="clear"/>
        </w:rPr>
        <w:t xml:space="preserve">undefined</w:t>
      </w:r>
      <w:r>
        <w:rPr>
          <w:sz w:val="22"/>
          <w:szCs w:val="22"/>
        </w:rPr>
        <w:t xml:space="preserve"> (normal user messages), the user's typed text is shown.</w:t>
      </w:r>
    </w:p>
    <w:p>
      <w:pPr>
        <w:pStyle w:val="Heading3"/>
        <w:spacing w:after="120" w:before="240"/>
      </w:pPr>
      <w:r>
        <w:rPr>
          <w:sz w:val="22"/>
          <w:szCs w:val="22"/>
        </w:rPr>
        <w:t xml:space="preserve">Auto-context on mount</w:t>
      </w:r>
    </w:p>
    <w:p>
      <w:pPr>
        <w:spacing w:after="120" w:line="276"/>
      </w:pPr>
      <w:r>
        <w:rPr>
          <w:sz w:val="22"/>
          <w:szCs w:val="22"/>
        </w:rPr>
        <w:t xml:space="preserve">Both panels auto-send context on mount via a </w:t>
      </w:r>
      <w:r>
        <w:rPr>
          <w:rFonts w:ascii="Courier New" w:cs="Courier New" w:eastAsia="Courier New" w:hAnsi="Courier New"/>
          <w:sz w:val="20"/>
          <w:szCs w:val="20"/>
          <w:shd w:fill="E8E8E8" w:color="auto" w:val="clear"/>
        </w:rPr>
        <w:t xml:space="preserve">useEffect</w:t>
      </w:r>
      <w:r>
        <w:rPr>
          <w:sz w:val="22"/>
          <w:szCs w:val="22"/>
        </w:rPr>
        <w:t xml:space="preserve"> hook. When </w:t>
      </w:r>
      <w:r>
        <w:rPr>
          <w:rFonts w:ascii="Courier New" w:cs="Courier New" w:eastAsia="Courier New" w:hAnsi="Courier New"/>
          <w:sz w:val="20"/>
          <w:szCs w:val="20"/>
          <w:shd w:fill="E8E8E8" w:color="auto" w:val="clear"/>
        </w:rPr>
        <w:t xml:space="preserve">matterData</w:t>
      </w:r>
      <w:r>
        <w:rPr>
          <w:sz w:val="22"/>
          <w:szCs w:val="22"/>
        </w:rPr>
        <w:t xml:space="preserve"> is present and context has not been sent, </w:t>
      </w:r>
      <w:r>
        <w:rPr>
          <w:rFonts w:ascii="Courier New" w:cs="Courier New" w:eastAsia="Courier New" w:hAnsi="Courier New"/>
          <w:sz w:val="20"/>
          <w:szCs w:val="20"/>
          <w:shd w:fill="E8E8E8" w:color="auto" w:val="clear"/>
        </w:rPr>
        <w:t xml:space="preserve">buildContextMessage</w:t>
      </w:r>
      <w:r>
        <w:rPr>
          <w:sz w:val="22"/>
          <w:szCs w:val="22"/>
        </w:rPr>
        <w:t xml:space="preserve"> is called and the result is passed to </w:t>
      </w:r>
      <w:r>
        <w:rPr>
          <w:rFonts w:ascii="Courier New" w:cs="Courier New" w:eastAsia="Courier New" w:hAnsi="Courier New"/>
          <w:sz w:val="20"/>
          <w:szCs w:val="20"/>
          <w:shd w:fill="E8E8E8" w:color="auto" w:val="clear"/>
        </w:rPr>
        <w:t xml:space="preserve">send(ctx.ai, ctx.display)</w:t>
      </w:r>
      <w:r>
        <w:rPr>
          <w:sz w:val="22"/>
          <w:szCs w:val="22"/>
        </w:rPr>
        <w:t xml:space="preserve">. This means the AI receives the full matter snapshot immediately when the panel opens, and the user sees only the relevant matter data (or nothing if there is only session metadata).</w:t>
      </w:r>
    </w:p>
    <w:p>
      <w:pPr>
        <w:pBdr>
          <w:bottom w:val="single" w:color="BFBFBF" w:sz="6"/>
        </w:pBdr>
        <w:spacing w:after="120" w:before="120"/>
      </w:pPr>
    </w:p>
    <w:p>
      <w:pPr>
        <w:pStyle w:val="Heading2"/>
        <w:spacing w:after="120" w:before="240"/>
      </w:pPr>
      <w:r>
        <w:rPr>
          <w:sz w:val="22"/>
          <w:szCs w:val="22"/>
        </w:rPr>
        <w:t xml:space="preserve">PDF report generation</w:t>
      </w:r>
    </w:p>
    <w:p>
      <w:pPr>
        <w:spacing w:after="120" w:line="276"/>
      </w:pPr>
      <w:r>
        <w:rPr>
          <w:sz w:val="22"/>
          <w:szCs w:val="22"/>
        </w:rPr>
        <w:t xml:space="preserve">Both the child support and spousal support workflows produce downloadable PDF reports. All generation logic lives in </w:t>
      </w:r>
      <w:r>
        <w:rPr>
          <w:color w:val="2B579A"/>
          <w:sz w:val="22"/>
          <w:szCs w:val="22"/>
          <w:u w:val="single"/>
        </w:rPr>
        <w:t xml:space="preserve">report_pdf.py</w:t>
      </w:r>
      <w:r>
        <w:rPr>
          <w:sz w:val="22"/>
          <w:szCs w:val="22"/>
        </w:rPr>
        <w:t xml:space="preserve">, which exposes two functions: </w:t>
      </w:r>
      <w:r>
        <w:rPr>
          <w:rFonts w:ascii="Courier New" w:cs="Courier New" w:eastAsia="Courier New" w:hAnsi="Courier New"/>
          <w:sz w:val="20"/>
          <w:szCs w:val="20"/>
          <w:shd w:fill="E8E8E8" w:color="auto" w:val="clear"/>
        </w:rPr>
        <w:t xml:space="preserve">generate_child_support_report()</w:t>
      </w:r>
      <w:r>
        <w:rPr>
          <w:sz w:val="22"/>
          <w:szCs w:val="22"/>
        </w:rPr>
        <w:t xml:space="preserve"> and </w:t>
      </w:r>
      <w:r>
        <w:rPr>
          <w:rFonts w:ascii="Courier New" w:cs="Courier New" w:eastAsia="Courier New" w:hAnsi="Courier New"/>
          <w:sz w:val="20"/>
          <w:szCs w:val="20"/>
          <w:shd w:fill="E8E8E8" w:color="auto" w:val="clear"/>
        </w:rPr>
        <w:t xml:space="preserve">generate_spousal_support_report()</w:t>
      </w:r>
      <w:r>
        <w:rPr>
          <w:sz w:val="22"/>
          <w:szCs w:val="22"/>
        </w:rPr>
        <w:t xml:space="preserve">. Reports are written to a </w:t>
      </w:r>
      <w:r>
        <w:rPr>
          <w:rFonts w:ascii="Courier New" w:cs="Courier New" w:eastAsia="Courier New" w:hAnsi="Courier New"/>
          <w:sz w:val="20"/>
          <w:szCs w:val="20"/>
          <w:shd w:fill="E8E8E8" w:color="auto" w:val="clear"/>
        </w:rPr>
        <w:t xml:space="preserve">generated_reports/</w:t>
      </w:r>
      <w:r>
        <w:rPr>
          <w:sz w:val="22"/>
          <w:szCs w:val="22"/>
        </w:rPr>
        <w:t xml:space="preserve"> directory (created at import time) and served to the browser via the </w:t>
      </w:r>
      <w:r>
        <w:rPr>
          <w:rFonts w:ascii="Courier New" w:cs="Courier New" w:eastAsia="Courier New" w:hAnsi="Courier New"/>
          <w:sz w:val="20"/>
          <w:szCs w:val="20"/>
          <w:shd w:fill="E8E8E8" w:color="auto" w:val="clear"/>
        </w:rPr>
        <w:t xml:space="preserve">GET /download-report/:filename</w:t>
      </w:r>
      <w:r>
        <w:rPr>
          <w:sz w:val="22"/>
          <w:szCs w:val="22"/>
        </w:rPr>
        <w:t xml:space="preserve"> endpoint.</w:t>
      </w:r>
    </w:p>
    <w:p>
      <w:pPr>
        <w:pStyle w:val="Heading3"/>
        <w:spacing w:after="120" w:before="240"/>
      </w:pPr>
      <w:r>
        <w:rPr>
          <w:sz w:val="22"/>
          <w:szCs w:val="22"/>
        </w:rPr>
        <w:t xml:space="preserve">How reports are triggered</w:t>
      </w:r>
    </w:p>
    <w:p>
      <w:pPr>
        <w:spacing w:after="120" w:line="276"/>
      </w:pPr>
      <w:r>
        <w:rPr>
          <w:sz w:val="22"/>
          <w:szCs w:val="22"/>
        </w:rPr>
        <w:t xml:space="preserve">Reports are generated automatically in two contexts. In the </w:t>
      </w:r>
      <w:r>
        <w:rPr>
          <w:b/>
          <w:bCs/>
          <w:sz w:val="22"/>
          <w:szCs w:val="22"/>
        </w:rPr>
        <w:t xml:space="preserve">form workflows</w:t>
      </w:r>
      <w:r>
        <w:rPr>
          <w:sz w:val="22"/>
          <w:szCs w:val="22"/>
        </w:rPr>
        <w:t xml:space="preserve"> (</w:t>
      </w:r>
      <w:r>
        <w:rPr>
          <w:rFonts w:ascii="Courier New" w:cs="Courier New" w:eastAsia="Courier New" w:hAnsi="Courier New"/>
          <w:sz w:val="20"/>
          <w:szCs w:val="20"/>
          <w:shd w:fill="E8E8E8" w:color="auto" w:val="clear"/>
        </w:rPr>
        <w:t xml:space="preserve">/calculate</w:t>
      </w:r>
      <w:r>
        <w:rPr>
          <w:sz w:val="22"/>
          <w:szCs w:val="22"/>
        </w:rPr>
        <w:t xml:space="preserve"> and </w:t>
      </w:r>
      <w:r>
        <w:rPr>
          <w:rFonts w:ascii="Courier New" w:cs="Courier New" w:eastAsia="Courier New" w:hAnsi="Courier New"/>
          <w:sz w:val="20"/>
          <w:szCs w:val="20"/>
          <w:shd w:fill="E8E8E8" w:color="auto" w:val="clear"/>
        </w:rPr>
        <w:t xml:space="preserve">/spousal-calculate</w:t>
      </w:r>
      <w:r>
        <w:rPr>
          <w:sz w:val="22"/>
          <w:szCs w:val="22"/>
        </w:rPr>
        <w:t xml:space="preserve">), the backend calls the generator immediately after the calculation completes and includes both a </w:t>
      </w:r>
      <w:r>
        <w:rPr>
          <w:rFonts w:ascii="Courier New" w:cs="Courier New" w:eastAsia="Courier New" w:hAnsi="Courier New"/>
          <w:sz w:val="20"/>
          <w:szCs w:val="20"/>
          <w:shd w:fill="E8E8E8" w:color="auto" w:val="clear"/>
        </w:rPr>
        <w:t xml:space="preserve">download_url</w:t>
      </w:r>
      <w:r>
        <w:rPr>
          <w:sz w:val="22"/>
          <w:szCs w:val="22"/>
        </w:rPr>
        <w:t xml:space="preserve"> (e.g. </w:t>
      </w:r>
      <w:r>
        <w:rPr>
          <w:rFonts w:ascii="Courier New" w:cs="Courier New" w:eastAsia="Courier New" w:hAnsi="Courier New"/>
          <w:sz w:val="20"/>
          <w:szCs w:val="20"/>
          <w:shd w:fill="E8E8E8" w:color="auto" w:val="clear"/>
        </w:rPr>
        <w:t xml:space="preserve">/download-report/child_support_report_a1b2c3d4e5f6.pdf</w:t>
      </w:r>
      <w:r>
        <w:rPr>
          <w:sz w:val="22"/>
          <w:szCs w:val="22"/>
        </w:rPr>
        <w:t xml:space="preserve">) and a </w:t>
      </w:r>
      <w:r>
        <w:rPr>
          <w:rFonts w:ascii="Courier New" w:cs="Courier New" w:eastAsia="Courier New" w:hAnsi="Courier New"/>
          <w:sz w:val="20"/>
          <w:szCs w:val="20"/>
          <w:shd w:fill="E8E8E8" w:color="auto" w:val="clear"/>
        </w:rPr>
        <w:t xml:space="preserve">pdf_base64</w:t>
      </w:r>
      <w:r>
        <w:rPr>
          <w:sz w:val="22"/>
          <w:szCs w:val="22"/>
        </w:rPr>
        <w:t xml:space="preserve"> payload in the JSON response. In the </w:t>
      </w:r>
      <w:r>
        <w:rPr>
          <w:b/>
          <w:bCs/>
          <w:sz w:val="22"/>
          <w:szCs w:val="22"/>
        </w:rPr>
        <w:t xml:space="preserve">AI chat workflows</w:t>
      </w:r>
      <w:r>
        <w:rPr>
          <w:sz w:val="22"/>
          <w:szCs w:val="22"/>
        </w:rPr>
        <w:t xml:space="preserve"> (</w:t>
      </w:r>
      <w:r>
        <w:rPr>
          <w:rFonts w:ascii="Courier New" w:cs="Courier New" w:eastAsia="Courier New" w:hAnsi="Courier New"/>
          <w:sz w:val="20"/>
          <w:szCs w:val="20"/>
          <w:shd w:fill="E8E8E8" w:color="auto" w:val="clear"/>
        </w:rPr>
        <w:t xml:space="preserve">/chat</w:t>
      </w:r>
      <w:r>
        <w:rPr>
          <w:sz w:val="22"/>
          <w:szCs w:val="22"/>
        </w:rPr>
        <w:t xml:space="preserve"> and </w:t>
      </w:r>
      <w:r>
        <w:rPr>
          <w:rFonts w:ascii="Courier New" w:cs="Courier New" w:eastAsia="Courier New" w:hAnsi="Courier New"/>
          <w:sz w:val="20"/>
          <w:szCs w:val="20"/>
          <w:shd w:fill="E8E8E8" w:color="auto" w:val="clear"/>
        </w:rPr>
        <w:t xml:space="preserve">/spousal-chat</w:t>
      </w:r>
      <w:r>
        <w:rPr>
          <w:sz w:val="22"/>
          <w:szCs w:val="22"/>
        </w:rPr>
        <w:t xml:space="preserve">), the same generation happens inside </w:t>
      </w:r>
      <w:r>
        <w:rPr>
          <w:rFonts w:ascii="Courier New" w:cs="Courier New" w:eastAsia="Courier New" w:hAnsi="Courier New"/>
          <w:sz w:val="20"/>
          <w:szCs w:val="20"/>
          <w:shd w:fill="E8E8E8" w:color="auto" w:val="clear"/>
        </w:rPr>
        <w:t xml:space="preserve">run_calc_tool()</w:t>
      </w:r>
      <w:r>
        <w:rPr>
          <w:sz w:val="22"/>
          <w:szCs w:val="22"/>
        </w:rPr>
        <w:t xml:space="preserve"> / </w:t>
      </w:r>
      <w:r>
        <w:rPr>
          <w:rFonts w:ascii="Courier New" w:cs="Courier New" w:eastAsia="Courier New" w:hAnsi="Courier New"/>
          <w:sz w:val="20"/>
          <w:szCs w:val="20"/>
          <w:shd w:fill="E8E8E8" w:color="auto" w:val="clear"/>
        </w:rPr>
        <w:t xml:space="preserve">run_spousal_calc_tool()</w:t>
      </w:r>
      <w:r>
        <w:rPr>
          <w:sz w:val="22"/>
          <w:szCs w:val="22"/>
        </w:rPr>
        <w:t xml:space="preserve"> after the AI invokes the calculation tool — the tool result returned to Claude includes the download URL so it can present the link to the user. Both workflows also expose standalone report tools (</w:t>
      </w:r>
      <w:r>
        <w:rPr>
          <w:rFonts w:ascii="Courier New" w:cs="Courier New" w:eastAsia="Courier New" w:hAnsi="Courier New"/>
          <w:sz w:val="20"/>
          <w:szCs w:val="20"/>
          <w:shd w:fill="E8E8E8" w:color="auto" w:val="clear"/>
        </w:rPr>
        <w:t xml:space="preserve">generate_report</w:t>
      </w:r>
      <w:r>
        <w:rPr>
          <w:sz w:val="22"/>
          <w:szCs w:val="22"/>
        </w:rPr>
        <w:t xml:space="preserve"> and </w:t>
      </w:r>
      <w:r>
        <w:rPr>
          <w:rFonts w:ascii="Courier New" w:cs="Courier New" w:eastAsia="Courier New" w:hAnsi="Courier New"/>
          <w:sz w:val="20"/>
          <w:szCs w:val="20"/>
          <w:shd w:fill="E8E8E8" w:color="auto" w:val="clear"/>
        </w:rPr>
        <w:t xml:space="preserve">generate_spousal_report</w:t>
      </w:r>
      <w:r>
        <w:rPr>
          <w:sz w:val="22"/>
          <w:szCs w:val="22"/>
        </w:rPr>
        <w:t xml:space="preserve">) that Claude can call separately if it needs to regenerate a report with different parameters.</w:t>
      </w:r>
    </w:p>
    <w:p>
      <w:pPr>
        <w:pStyle w:val="Heading3"/>
        <w:spacing w:after="120" w:before="240"/>
      </w:pPr>
      <w:r>
        <w:rPr>
          <w:sz w:val="22"/>
          <w:szCs w:val="22"/>
        </w:rPr>
        <w:t xml:space="preserve">Child support report (ReportLab)</w:t>
      </w:r>
    </w:p>
    <w:p>
      <w:pPr>
        <w:spacing w:after="120" w:line="276"/>
      </w:pPr>
      <w:r>
        <w:rPr>
          <w:sz w:val="22"/>
          <w:szCs w:val="22"/>
        </w:rPr>
        <w:t xml:space="preserve">The child support report uses ReportLab's </w:t>
      </w:r>
      <w:r>
        <w:rPr>
          <w:rFonts w:ascii="Courier New" w:cs="Courier New" w:eastAsia="Courier New" w:hAnsi="Courier New"/>
          <w:sz w:val="20"/>
          <w:szCs w:val="20"/>
          <w:shd w:fill="E8E8E8" w:color="auto" w:val="clear"/>
        </w:rPr>
        <w:t xml:space="preserve">SimpleDocTemplate</w:t>
      </w:r>
      <w:r>
        <w:rPr>
          <w:sz w:val="22"/>
          <w:szCs w:val="22"/>
        </w:rPr>
        <w:t xml:space="preserve"> to build a structured PDF with US Letter page size. The layout includes a branded title ("CLOUDACT FAMILY LAW TOOLS"), a calculation input section showing both parties' guideline incomes and the custody scenario, a children table listing each child's name, age, custody arrangement, and adult status, and a result section showing the net payer, monthly and annual child support amounts, and per-party obligations for offset scenarios. The report uses a consistent colour scheme (dark blue text, light blue headers, green result background) with Helvetica typography. Each report filename includes a random UUID segment for uniqueness.</w:t>
      </w:r>
    </w:p>
    <w:p>
      <w:pPr>
        <w:pStyle w:val="Heading3"/>
        <w:spacing w:after="120" w:before="240"/>
      </w:pPr>
      <w:r>
        <w:rPr>
          <w:sz w:val="22"/>
          <w:szCs w:val="22"/>
        </w:rPr>
        <w:t xml:space="preserve">Spousal support report (xhtml2pdf)</w:t>
      </w:r>
    </w:p>
    <w:p>
      <w:pPr>
        <w:spacing w:after="120" w:line="276"/>
      </w:pPr>
      <w:r>
        <w:rPr>
          <w:sz w:val="22"/>
          <w:szCs w:val="22"/>
        </w:rPr>
        <w:t xml:space="preserve">The spousal support report uses xhtml2pdf to render an HTML template that matches the </w:t>
      </w:r>
      <w:r>
        <w:rPr>
          <w:rFonts w:ascii="Courier New" w:cs="Courier New" w:eastAsia="Courier New" w:hAnsi="Courier New"/>
          <w:sz w:val="20"/>
          <w:szCs w:val="20"/>
          <w:shd w:fill="E8E8E8" w:color="auto" w:val="clear"/>
        </w:rPr>
        <w:t xml:space="preserve">CalculationReport.tsx</w:t>
      </w:r>
      <w:r>
        <w:rPr>
          <w:sz w:val="22"/>
          <w:szCs w:val="22"/>
        </w:rPr>
        <w:t xml:space="preserve"> React component's layout exactly, ensuring the PDF and the in-browser preview look identical. The HTML template includes party information (names, incomes, ages, provinces), important dates (marriage, separation, relationship duration, recipient age at separation), a children table with custody and CSG table status, a child support section (if applicable), and the spousal support results showing low/mid/high monthly and annual amounts with duration ranges.</w:t>
      </w:r>
    </w:p>
    <w:p>
      <w:pPr>
        <w:spacing w:after="120" w:line="276"/>
      </w:pPr>
      <w:r>
        <w:rPr>
          <w:sz w:val="22"/>
          <w:szCs w:val="22"/>
        </w:rPr>
        <w:t xml:space="preserve">When the with-children SSAG formula is used, the report additionally includes a detailed INDI (Individual Net Disposable Income) breakdown for each scenario (low/mid/high), showing gross income, taxes, government benefits, child support adjustments, spousal support flows, and the resulting disposable income for both parties. This allows the lawyer to verify the iterative tax-converging calculation at every step.</w:t>
      </w:r>
    </w:p>
    <w:p>
      <w:pPr>
        <w:pStyle w:val="Heading3"/>
        <w:spacing w:after="120" w:before="240"/>
      </w:pPr>
      <w:r>
        <w:rPr>
          <w:sz w:val="22"/>
          <w:szCs w:val="22"/>
        </w:rPr>
        <w:t xml:space="preserve">Delivery to the frontend</w:t>
      </w:r>
    </w:p>
    <w:p>
      <w:pPr>
        <w:spacing w:after="120" w:line="276"/>
      </w:pPr>
      <w:r>
        <w:rPr>
          <w:sz w:val="22"/>
          <w:szCs w:val="22"/>
        </w:rPr>
        <w:t xml:space="preserve">The frontend receives each PDF in two forms. The </w:t>
      </w:r>
      <w:r>
        <w:rPr>
          <w:rFonts w:ascii="Courier New" w:cs="Courier New" w:eastAsia="Courier New" w:hAnsi="Courier New"/>
          <w:sz w:val="20"/>
          <w:szCs w:val="20"/>
          <w:shd w:fill="E8E8E8" w:color="auto" w:val="clear"/>
        </w:rPr>
        <w:t xml:space="preserve">download_url</w:t>
      </w:r>
      <w:r>
        <w:rPr>
          <w:sz w:val="22"/>
          <w:szCs w:val="22"/>
        </w:rPr>
        <w:t xml:space="preserve"> path (</w:t>
      </w:r>
      <w:r>
        <w:rPr>
          <w:rFonts w:ascii="Courier New" w:cs="Courier New" w:eastAsia="Courier New" w:hAnsi="Courier New"/>
          <w:sz w:val="20"/>
          <w:szCs w:val="20"/>
          <w:shd w:fill="E8E8E8" w:color="auto" w:val="clear"/>
        </w:rPr>
        <w:t xml:space="preserve">/download-report/:filename</w:t>
      </w:r>
      <w:r>
        <w:rPr>
          <w:sz w:val="22"/>
          <w:szCs w:val="22"/>
        </w:rPr>
        <w:t xml:space="preserve">) allows immediate download via a </w:t>
      </w:r>
      <w:r>
        <w:rPr>
          <w:b/>
          <w:bCs/>
          <w:sz w:val="22"/>
          <w:szCs w:val="22"/>
        </w:rPr>
        <w:t xml:space="preserve">Download PDF Report</w:t>
      </w:r>
      <w:r>
        <w:rPr>
          <w:sz w:val="22"/>
          <w:szCs w:val="22"/>
        </w:rPr>
        <w:t xml:space="preserve"> button. The </w:t>
      </w:r>
      <w:r>
        <w:rPr>
          <w:rFonts w:ascii="Courier New" w:cs="Courier New" w:eastAsia="Courier New" w:hAnsi="Courier New"/>
          <w:sz w:val="20"/>
          <w:szCs w:val="20"/>
          <w:shd w:fill="E8E8E8" w:color="auto" w:val="clear"/>
        </w:rPr>
        <w:t xml:space="preserve">pdf_base64</w:t>
      </w:r>
      <w:r>
        <w:rPr>
          <w:sz w:val="22"/>
          <w:szCs w:val="22"/>
        </w:rPr>
        <w:t xml:space="preserve"> field contains the raw PDF bytes as a base64 string, which the </w:t>
      </w:r>
      <w:r>
        <w:rPr>
          <w:b/>
          <w:bCs/>
          <w:sz w:val="22"/>
          <w:szCs w:val="22"/>
        </w:rPr>
        <w:t xml:space="preserve">Save to Matter</w:t>
      </w:r>
      <w:r>
        <w:rPr>
          <w:sz w:val="22"/>
          <w:szCs w:val="22"/>
        </w:rPr>
        <w:t xml:space="preserve"> button sends to the auth-server database as an attachment on the matter record, so the report is permanently associated with the matter and retrievable later without regeneration.</w:t>
      </w:r>
    </w:p>
    <w:p>
      <w:pPr>
        <w:pBdr>
          <w:bottom w:val="single" w:color="BFBFBF" w:sz="6"/>
        </w:pBdr>
        <w:spacing w:after="120" w:before="120"/>
      </w:pPr>
    </w:p>
    <w:p>
      <w:pPr>
        <w:pStyle w:val="Heading2"/>
        <w:spacing w:after="120" w:before="240"/>
      </w:pPr>
      <w:r>
        <w:rPr>
          <w:sz w:val="22"/>
          <w:szCs w:val="22"/>
        </w:rPr>
        <w:t xml:space="preserve">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6E4F0" w:color="auto" w:val="clear"/>
          </w:tcPr>
          <w:p>
            <w:pPr>
              <w:spacing w:after="40" w:before="40"/>
            </w:pPr>
            <w:r>
              <w:rPr>
                <w:sz w:val="22"/>
                <w:szCs w:val="22"/>
              </w:rPr>
              <w:t xml:space="preserve">Endpoint</w:t>
            </w:r>
          </w:p>
        </w:tc>
        <w:tc>
          <w:tcPr>
            <w:tcW w:type="dxa" w:w="3120"/>
            <w:shd w:fill="D6E4F0" w:color="auto" w:val="clear"/>
          </w:tcPr>
          <w:p>
            <w:pPr>
              <w:spacing w:after="40" w:before="40"/>
            </w:pPr>
            <w:r>
              <w:rPr>
                <w:sz w:val="22"/>
                <w:szCs w:val="22"/>
              </w:rPr>
              <w:t xml:space="preserve">Method</w:t>
            </w:r>
          </w:p>
        </w:tc>
        <w:tc>
          <w:tcPr>
            <w:tcW w:type="dxa" w:w="3120"/>
            <w:shd w:fill="D6E4F0" w:color="auto" w:val="clear"/>
          </w:tcPr>
          <w:p>
            <w:pPr>
              <w:spacing w:after="40" w:before="40"/>
            </w:pPr>
            <w:r>
              <w:rPr>
                <w:sz w:val="22"/>
                <w:szCs w:val="22"/>
              </w:rPr>
              <w:t xml:space="preserve">Description</w:t>
            </w:r>
          </w:p>
        </w:tc>
      </w:tr>
      <w:tr>
        <w:trPr>
          <w:tblHeader w:val="false"/>
        </w:trPr>
        <w:tc>
          <w:tcPr>
            <w:tcW w:type="dxa" w:w="3120"/>
            <w:shd w:fill="FFFFFF" w:color="auto" w:val="clear"/>
          </w:tcPr>
          <w:p>
            <w:pPr>
              <w:spacing w:after="40" w:before="40"/>
            </w:pPr>
            <w:r>
              <w:rPr>
                <w:rFonts w:ascii="Courier New" w:cs="Courier New" w:eastAsia="Courier New" w:hAnsi="Courier New"/>
                <w:sz w:val="20"/>
                <w:szCs w:val="20"/>
                <w:shd w:fill="E8E8E8" w:color="auto" w:val="clear"/>
              </w:rPr>
              <w:t xml:space="preserve">/calculate</w:t>
            </w:r>
          </w:p>
        </w:tc>
        <w:tc>
          <w:tcPr>
            <w:tcW w:type="dxa" w:w="3120"/>
            <w:shd w:fill="FFFFFF" w:color="auto" w:val="clear"/>
          </w:tcPr>
          <w:p>
            <w:pPr>
              <w:spacing w:after="40" w:before="40"/>
            </w:pPr>
            <w:r>
              <w:rPr>
                <w:sz w:val="22"/>
                <w:szCs w:val="22"/>
              </w:rPr>
              <w:t xml:space="preserve">POST</w:t>
            </w:r>
          </w:p>
        </w:tc>
        <w:tc>
          <w:tcPr>
            <w:tcW w:type="dxa" w:w="3120"/>
            <w:shd w:fill="FFFFFF" w:color="auto" w:val="clear"/>
          </w:tcPr>
          <w:p>
            <w:pPr>
              <w:spacing w:after="40" w:before="40"/>
            </w:pPr>
            <w:r>
              <w:rPr>
                <w:sz w:val="22"/>
                <w:szCs w:val="22"/>
              </w:rPr>
              <w:t xml:space="preserve">Form-based child support calculation. Accepts party incomes, children array, and province (</w:t>
            </w:r>
            <w:r>
              <w:rPr>
                <w:rFonts w:ascii="Courier New" w:cs="Courier New" w:eastAsia="Courier New" w:hAnsi="Courier New"/>
                <w:sz w:val="20"/>
                <w:szCs w:val="20"/>
                <w:shd w:fill="E8E8E8" w:color="auto" w:val="clear"/>
              </w:rPr>
              <w:t xml:space="preserve">"ON"</w:t>
            </w:r>
            <w:r>
              <w:rPr>
                <w:sz w:val="22"/>
                <w:szCs w:val="22"/>
              </w:rPr>
              <w:t xml:space="preserve">, </w:t>
            </w:r>
            <w:r>
              <w:rPr>
                <w:rFonts w:ascii="Courier New" w:cs="Courier New" w:eastAsia="Courier New" w:hAnsi="Courier New"/>
                <w:sz w:val="20"/>
                <w:szCs w:val="20"/>
                <w:shd w:fill="E8E8E8" w:color="auto" w:val="clear"/>
              </w:rPr>
              <w:t xml:space="preserve">"BC"</w:t>
            </w:r>
            <w:r>
              <w:rPr>
                <w:sz w:val="22"/>
                <w:szCs w:val="22"/>
              </w:rPr>
              <w:t xml:space="preserve">, </w:t>
            </w:r>
            <w:r>
              <w:rPr>
                <w:rFonts w:ascii="Courier New" w:cs="Courier New" w:eastAsia="Courier New" w:hAnsi="Courier New"/>
                <w:sz w:val="20"/>
                <w:szCs w:val="20"/>
                <w:shd w:fill="E8E8E8" w:color="auto" w:val="clear"/>
              </w:rPr>
              <w:t xml:space="preserve">"AB"</w:t>
            </w:r>
            <w:r>
              <w:rPr>
                <w:sz w:val="22"/>
                <w:szCs w:val="22"/>
              </w:rPr>
              <w:t xml:space="preserve">, </w:t>
            </w:r>
            <w:r>
              <w:rPr>
                <w:rFonts w:ascii="Courier New" w:cs="Courier New" w:eastAsia="Courier New" w:hAnsi="Courier New"/>
                <w:sz w:val="20"/>
                <w:szCs w:val="20"/>
                <w:shd w:fill="E8E8E8" w:color="auto" w:val="clear"/>
              </w:rPr>
              <w:t xml:space="preserve">"SK"</w:t>
            </w:r>
            <w:r>
              <w:rPr>
                <w:sz w:val="22"/>
                <w:szCs w:val="22"/>
              </w:rPr>
              <w:t xml:space="preserve">, or </w:t>
            </w:r>
            <w:r>
              <w:rPr>
                <w:rFonts w:ascii="Courier New" w:cs="Courier New" w:eastAsia="Courier New" w:hAnsi="Courier New"/>
                <w:sz w:val="20"/>
                <w:szCs w:val="20"/>
                <w:shd w:fill="E8E8E8" w:color="auto" w:val="clear"/>
              </w:rPr>
              <w:t xml:space="preserve">"MB"</w:t>
            </w:r>
            <w:r>
              <w:rPr>
                <w:sz w:val="22"/>
                <w:szCs w:val="22"/>
              </w:rPr>
              <w:t xml:space="preserve">). Returns scenario type, monthly/annual amounts, and net payer.</w:t>
            </w:r>
          </w:p>
        </w:tc>
      </w:tr>
      <w:tr>
        <w:trPr>
          <w:tblHeader w:val="false"/>
        </w:trPr>
        <w:tc>
          <w:tcPr>
            <w:tcW w:type="dxa" w:w="3120"/>
            <w:shd w:fill="F2F2F2" w:color="auto" w:val="clear"/>
          </w:tcPr>
          <w:p>
            <w:pPr>
              <w:spacing w:after="40" w:before="40"/>
            </w:pPr>
            <w:r>
              <w:rPr>
                <w:rFonts w:ascii="Courier New" w:cs="Courier New" w:eastAsia="Courier New" w:hAnsi="Courier New"/>
                <w:sz w:val="20"/>
                <w:szCs w:val="20"/>
                <w:shd w:fill="E8E8E8" w:color="auto" w:val="clear"/>
              </w:rPr>
              <w:t xml:space="preserve">/chat</w:t>
            </w:r>
          </w:p>
        </w:tc>
        <w:tc>
          <w:tcPr>
            <w:tcW w:type="dxa" w:w="3120"/>
            <w:shd w:fill="F2F2F2" w:color="auto" w:val="clear"/>
          </w:tcPr>
          <w:p>
            <w:pPr>
              <w:spacing w:after="40" w:before="40"/>
            </w:pPr>
            <w:r>
              <w:rPr>
                <w:sz w:val="22"/>
                <w:szCs w:val="22"/>
              </w:rPr>
              <w:t xml:space="preserve">POST</w:t>
            </w:r>
          </w:p>
        </w:tc>
        <w:tc>
          <w:tcPr>
            <w:tcW w:type="dxa" w:w="3120"/>
            <w:shd w:fill="F2F2F2" w:color="auto" w:val="clear"/>
          </w:tcPr>
          <w:p>
            <w:pPr>
              <w:spacing w:after="40" w:before="40"/>
            </w:pPr>
            <w:r>
              <w:rPr>
                <w:sz w:val="22"/>
                <w:szCs w:val="22"/>
              </w:rPr>
              <w:t xml:space="preserve">Child support AI chat. Message-loop with Claude using </w:t>
            </w:r>
            <w:r>
              <w:rPr>
                <w:rFonts w:ascii="Courier New" w:cs="Courier New" w:eastAsia="Courier New" w:hAnsi="Courier New"/>
                <w:sz w:val="20"/>
                <w:szCs w:val="20"/>
                <w:shd w:fill="E8E8E8" w:color="auto" w:val="clear"/>
              </w:rPr>
              <w:t xml:space="preserve">calculate_child_support</w:t>
            </w:r>
            <w:r>
              <w:rPr>
                <w:sz w:val="22"/>
                <w:szCs w:val="22"/>
              </w:rPr>
              <w:t xml:space="preserve"> tool (province-aware, ON/BC/AB/SK/MB). Auto-generates PDF report. Returns calculation result for frontend persistence.</w:t>
            </w:r>
          </w:p>
        </w:tc>
      </w:tr>
      <w:tr>
        <w:trPr>
          <w:tblHeader w:val="false"/>
        </w:trPr>
        <w:tc>
          <w:tcPr>
            <w:tcW w:type="dxa" w:w="3120"/>
            <w:shd w:fill="FFFFFF" w:color="auto" w:val="clear"/>
          </w:tcPr>
          <w:p>
            <w:pPr>
              <w:spacing w:after="40" w:before="40"/>
            </w:pPr>
            <w:r>
              <w:rPr>
                <w:rFonts w:ascii="Courier New" w:cs="Courier New" w:eastAsia="Courier New" w:hAnsi="Courier New"/>
                <w:sz w:val="20"/>
                <w:szCs w:val="20"/>
                <w:shd w:fill="E8E8E8" w:color="auto" w:val="clear"/>
              </w:rPr>
              <w:t xml:space="preserve">/spousal-calculate</w:t>
            </w:r>
          </w:p>
        </w:tc>
        <w:tc>
          <w:tcPr>
            <w:tcW w:type="dxa" w:w="3120"/>
            <w:shd w:fill="FFFFFF" w:color="auto" w:val="clear"/>
          </w:tcPr>
          <w:p>
            <w:pPr>
              <w:spacing w:after="40" w:before="40"/>
            </w:pPr>
            <w:r>
              <w:rPr>
                <w:sz w:val="22"/>
                <w:szCs w:val="22"/>
              </w:rPr>
              <w:t xml:space="preserve">POST</w:t>
            </w:r>
          </w:p>
        </w:tc>
        <w:tc>
          <w:tcPr>
            <w:tcW w:type="dxa" w:w="3120"/>
            <w:shd w:fill="FFFFFF" w:color="auto" w:val="clear"/>
          </w:tcPr>
          <w:p>
            <w:pPr>
              <w:spacing w:after="40" w:before="40"/>
            </w:pPr>
            <w:r>
              <w:rPr>
                <w:sz w:val="22"/>
                <w:szCs w:val="22"/>
              </w:rPr>
              <w:t xml:space="preserve">Form-based spousal support calculation. Accepts province (</w:t>
            </w:r>
            <w:r>
              <w:rPr>
                <w:rFonts w:ascii="Courier New" w:cs="Courier New" w:eastAsia="Courier New" w:hAnsi="Courier New"/>
                <w:sz w:val="20"/>
                <w:szCs w:val="20"/>
                <w:shd w:fill="E8E8E8" w:color="auto" w:val="clear"/>
              </w:rPr>
              <w:t xml:space="preserve">"ON"</w:t>
            </w:r>
            <w:r>
              <w:rPr>
                <w:sz w:val="22"/>
                <w:szCs w:val="22"/>
              </w:rPr>
              <w:t xml:space="preserve">, </w:t>
            </w:r>
            <w:r>
              <w:rPr>
                <w:rFonts w:ascii="Courier New" w:cs="Courier New" w:eastAsia="Courier New" w:hAnsi="Courier New"/>
                <w:sz w:val="20"/>
                <w:szCs w:val="20"/>
                <w:shd w:fill="E8E8E8" w:color="auto" w:val="clear"/>
              </w:rPr>
              <w:t xml:space="preserve">"BC"</w:t>
            </w:r>
            <w:r>
              <w:rPr>
                <w:sz w:val="22"/>
                <w:szCs w:val="22"/>
              </w:rPr>
              <w:t xml:space="preserve">, </w:t>
            </w:r>
            <w:r>
              <w:rPr>
                <w:rFonts w:ascii="Courier New" w:cs="Courier New" w:eastAsia="Courier New" w:hAnsi="Courier New"/>
                <w:sz w:val="20"/>
                <w:szCs w:val="20"/>
                <w:shd w:fill="E8E8E8" w:color="auto" w:val="clear"/>
              </w:rPr>
              <w:t xml:space="preserve">"AB"</w:t>
            </w:r>
            <w:r>
              <w:rPr>
                <w:sz w:val="22"/>
                <w:szCs w:val="22"/>
              </w:rPr>
              <w:t xml:space="preserve">, </w:t>
            </w:r>
            <w:r>
              <w:rPr>
                <w:rFonts w:ascii="Courier New" w:cs="Courier New" w:eastAsia="Courier New" w:hAnsi="Courier New"/>
                <w:sz w:val="20"/>
                <w:szCs w:val="20"/>
                <w:shd w:fill="E8E8E8" w:color="auto" w:val="clear"/>
              </w:rPr>
              <w:t xml:space="preserve">"SK"</w:t>
            </w:r>
            <w:r>
              <w:rPr>
                <w:sz w:val="22"/>
                <w:szCs w:val="22"/>
              </w:rPr>
              <w:t xml:space="preserve">, or </w:t>
            </w:r>
            <w:r>
              <w:rPr>
                <w:rFonts w:ascii="Courier New" w:cs="Courier New" w:eastAsia="Courier New" w:hAnsi="Courier New"/>
                <w:sz w:val="20"/>
                <w:szCs w:val="20"/>
                <w:shd w:fill="E8E8E8" w:color="auto" w:val="clear"/>
              </w:rPr>
              <w:t xml:space="preserve">"MB"</w:t>
            </w:r>
            <w:r>
              <w:rPr>
                <w:sz w:val="22"/>
                <w:szCs w:val="22"/>
              </w:rPr>
              <w:t xml:space="preserve">, defaults to </w:t>
            </w:r>
            <w:r>
              <w:rPr>
                <w:rFonts w:ascii="Courier New" w:cs="Courier New" w:eastAsia="Courier New" w:hAnsi="Courier New"/>
                <w:sz w:val="20"/>
                <w:szCs w:val="20"/>
                <w:shd w:fill="E8E8E8" w:color="auto" w:val="clear"/>
              </w:rPr>
              <w:t xml:space="preserve">"ON"</w:t>
            </w:r>
            <w:r>
              <w:rPr>
                <w:sz w:val="22"/>
                <w:szCs w:val="22"/>
              </w:rPr>
              <w:t xml:space="preserve">). Routes to no-children formula or iterative with-children engine. Returns low/mid/high amounts, INDI, taxes, benefits, and duration.</w:t>
            </w:r>
          </w:p>
        </w:tc>
      </w:tr>
      <w:tr>
        <w:trPr>
          <w:tblHeader w:val="false"/>
        </w:trPr>
        <w:tc>
          <w:tcPr>
            <w:tcW w:type="dxa" w:w="3120"/>
            <w:shd w:fill="F2F2F2" w:color="auto" w:val="clear"/>
          </w:tcPr>
          <w:p>
            <w:pPr>
              <w:spacing w:after="40" w:before="40"/>
            </w:pPr>
            <w:r>
              <w:rPr>
                <w:rFonts w:ascii="Courier New" w:cs="Courier New" w:eastAsia="Courier New" w:hAnsi="Courier New"/>
                <w:sz w:val="20"/>
                <w:szCs w:val="20"/>
                <w:shd w:fill="E8E8E8" w:color="auto" w:val="clear"/>
              </w:rPr>
              <w:t xml:space="preserve">/spousal-chat</w:t>
            </w:r>
          </w:p>
        </w:tc>
        <w:tc>
          <w:tcPr>
            <w:tcW w:type="dxa" w:w="3120"/>
            <w:shd w:fill="F2F2F2" w:color="auto" w:val="clear"/>
          </w:tcPr>
          <w:p>
            <w:pPr>
              <w:spacing w:after="40" w:before="40"/>
            </w:pPr>
            <w:r>
              <w:rPr>
                <w:sz w:val="22"/>
                <w:szCs w:val="22"/>
              </w:rPr>
              <w:t xml:space="preserve">POST</w:t>
            </w:r>
          </w:p>
        </w:tc>
        <w:tc>
          <w:tcPr>
            <w:tcW w:type="dxa" w:w="3120"/>
            <w:shd w:fill="F2F2F2" w:color="auto" w:val="clear"/>
          </w:tcPr>
          <w:p>
            <w:pPr>
              <w:spacing w:after="40" w:before="40"/>
            </w:pPr>
            <w:r>
              <w:rPr>
                <w:sz w:val="22"/>
                <w:szCs w:val="22"/>
              </w:rPr>
              <w:t xml:space="preserve">Spousal support AI chat. Message-loop with Claude using </w:t>
            </w:r>
            <w:r>
              <w:rPr>
                <w:rFonts w:ascii="Courier New" w:cs="Courier New" w:eastAsia="Courier New" w:hAnsi="Courier New"/>
                <w:sz w:val="20"/>
                <w:szCs w:val="20"/>
                <w:shd w:fill="E8E8E8" w:color="auto" w:val="clear"/>
              </w:rPr>
              <w:t xml:space="preserve">calculate_spousal_support</w:t>
            </w:r>
            <w:r>
              <w:rPr>
                <w:sz w:val="22"/>
                <w:szCs w:val="22"/>
              </w:rPr>
              <w:t xml:space="preserve"> tool. Province-aware. Two paths: without-children (gross % formula) and with-children (iterative tax-converging). Auto-generates PDF.</w:t>
            </w:r>
          </w:p>
        </w:tc>
      </w:tr>
      <w:tr>
        <w:trPr>
          <w:tblHeader w:val="false"/>
        </w:trPr>
        <w:tc>
          <w:tcPr>
            <w:tcW w:type="dxa" w:w="3120"/>
            <w:shd w:fill="FFFFFF" w:color="auto" w:val="clear"/>
          </w:tcPr>
          <w:p>
            <w:pPr>
              <w:spacing w:after="40" w:before="40"/>
            </w:pPr>
            <w:r>
              <w:rPr>
                <w:rFonts w:ascii="Courier New" w:cs="Courier New" w:eastAsia="Courier New" w:hAnsi="Courier New"/>
                <w:sz w:val="20"/>
                <w:szCs w:val="20"/>
                <w:shd w:fill="E8E8E8" w:color="auto" w:val="clear"/>
              </w:rPr>
              <w:t xml:space="preserve">/intake-chat</w:t>
            </w:r>
          </w:p>
        </w:tc>
        <w:tc>
          <w:tcPr>
            <w:tcW w:type="dxa" w:w="3120"/>
            <w:shd w:fill="FFFFFF" w:color="auto" w:val="clear"/>
          </w:tcPr>
          <w:p>
            <w:pPr>
              <w:spacing w:after="40" w:before="40"/>
            </w:pPr>
            <w:r>
              <w:rPr>
                <w:sz w:val="22"/>
                <w:szCs w:val="22"/>
              </w:rPr>
              <w:t xml:space="preserve">POST</w:t>
            </w:r>
          </w:p>
        </w:tc>
        <w:tc>
          <w:tcPr>
            <w:tcW w:type="dxa" w:w="3120"/>
            <w:shd w:fill="FFFFFF" w:color="auto" w:val="clear"/>
          </w:tcPr>
          <w:p>
            <w:pPr>
              <w:spacing w:after="40" w:before="40"/>
            </w:pPr>
            <w:r>
              <w:rPr>
                <w:sz w:val="22"/>
                <w:szCs w:val="22"/>
              </w:rPr>
              <w:t xml:space="preserve">Matter intake AI agent. Collects ten sections of family-law intake data via </w:t>
            </w:r>
            <w:r>
              <w:rPr>
                <w:rFonts w:ascii="Courier New" w:cs="Courier New" w:eastAsia="Courier New" w:hAnsi="Courier New"/>
                <w:sz w:val="20"/>
                <w:szCs w:val="20"/>
                <w:shd w:fill="E8E8E8" w:color="auto" w:val="clear"/>
              </w:rPr>
              <w:t xml:space="preserve">save_matter_section</w:t>
            </w:r>
            <w:r>
              <w:rPr>
                <w:sz w:val="22"/>
                <w:szCs w:val="22"/>
              </w:rPr>
              <w:t xml:space="preserve"> tool. Returns collected sections for frontend persistence. Includes stall guard.</w:t>
            </w:r>
          </w:p>
        </w:tc>
      </w:tr>
      <w:tr>
        <w:trPr>
          <w:tblHeader w:val="false"/>
        </w:trPr>
        <w:tc>
          <w:tcPr>
            <w:tcW w:type="dxa" w:w="3120"/>
            <w:shd w:fill="F2F2F2" w:color="auto" w:val="clear"/>
          </w:tcPr>
          <w:p>
            <w:pPr>
              <w:spacing w:after="40" w:before="40"/>
            </w:pPr>
            <w:r>
              <w:rPr>
                <w:rFonts w:ascii="Courier New" w:cs="Courier New" w:eastAsia="Courier New" w:hAnsi="Courier New"/>
                <w:sz w:val="20"/>
                <w:szCs w:val="20"/>
                <w:shd w:fill="E8E8E8" w:color="auto" w:val="clear"/>
              </w:rPr>
              <w:t xml:space="preserve">/update-chat</w:t>
            </w:r>
          </w:p>
        </w:tc>
        <w:tc>
          <w:tcPr>
            <w:tcW w:type="dxa" w:w="3120"/>
            <w:shd w:fill="F2F2F2" w:color="auto" w:val="clear"/>
          </w:tcPr>
          <w:p>
            <w:pPr>
              <w:spacing w:after="40" w:before="40"/>
            </w:pPr>
            <w:r>
              <w:rPr>
                <w:sz w:val="22"/>
                <w:szCs w:val="22"/>
              </w:rPr>
              <w:t xml:space="preserve">POST</w:t>
            </w:r>
          </w:p>
        </w:tc>
        <w:tc>
          <w:tcPr>
            <w:tcW w:type="dxa" w:w="3120"/>
            <w:shd w:fill="F2F2F2" w:color="auto" w:val="clear"/>
          </w:tcPr>
          <w:p>
            <w:pPr>
              <w:spacing w:after="40" w:before="40"/>
            </w:pPr>
            <w:r>
              <w:rPr>
                <w:sz w:val="22"/>
                <w:szCs w:val="22"/>
              </w:rPr>
              <w:t xml:space="preserve">Update information AI agent. Same tool as intake but for editing existing values. Returns patches for frontend persistence.</w:t>
            </w:r>
          </w:p>
        </w:tc>
      </w:tr>
      <w:tr>
        <w:trPr>
          <w:tblHeader w:val="false"/>
        </w:trPr>
        <w:tc>
          <w:tcPr>
            <w:tcW w:type="dxa" w:w="3120"/>
            <w:shd w:fill="FFFFFF" w:color="auto" w:val="clear"/>
          </w:tcPr>
          <w:p>
            <w:pPr>
              <w:spacing w:after="40" w:before="40"/>
            </w:pPr>
            <w:r>
              <w:rPr>
                <w:rFonts w:ascii="Courier New" w:cs="Courier New" w:eastAsia="Courier New" w:hAnsi="Courier New"/>
                <w:sz w:val="20"/>
                <w:szCs w:val="20"/>
                <w:shd w:fill="E8E8E8" w:color="auto" w:val="clear"/>
              </w:rPr>
              <w:t xml:space="preserve">/tax-chat</w:t>
            </w:r>
          </w:p>
        </w:tc>
        <w:tc>
          <w:tcPr>
            <w:tcW w:type="dxa" w:w="3120"/>
            <w:shd w:fill="FFFFFF" w:color="auto" w:val="clear"/>
          </w:tcPr>
          <w:p>
            <w:pPr>
              <w:spacing w:after="40" w:before="40"/>
            </w:pPr>
            <w:r>
              <w:rPr>
                <w:sz w:val="22"/>
                <w:szCs w:val="22"/>
              </w:rPr>
              <w:t xml:space="preserve">POST</w:t>
            </w:r>
          </w:p>
        </w:tc>
        <w:tc>
          <w:tcPr>
            <w:tcW w:type="dxa" w:w="3120"/>
            <w:shd w:fill="FFFFFF" w:color="auto" w:val="clear"/>
          </w:tcPr>
          <w:p>
            <w:pPr>
              <w:spacing w:after="40" w:before="40"/>
            </w:pPr>
            <w:r>
              <w:rPr>
                <w:sz w:val="22"/>
                <w:szCs w:val="22"/>
              </w:rPr>
              <w:t xml:space="preserve">Tax calculator AI chat. Collects income/deduction/children data and runs the full tax engine (all five provinces supported by engine; AI prompt currently scoped to ON only). Returns comprehensive breakdown.</w:t>
            </w:r>
          </w:p>
        </w:tc>
      </w:tr>
      <w:tr>
        <w:trPr>
          <w:tblHeader w:val="false"/>
        </w:trPr>
        <w:tc>
          <w:tcPr>
            <w:tcW w:type="dxa" w:w="3120"/>
            <w:shd w:fill="F2F2F2" w:color="auto" w:val="clear"/>
          </w:tcPr>
          <w:p>
            <w:pPr>
              <w:spacing w:after="40" w:before="40"/>
            </w:pPr>
            <w:r>
              <w:rPr>
                <w:rFonts w:ascii="Courier New" w:cs="Courier New" w:eastAsia="Courier New" w:hAnsi="Courier New"/>
                <w:sz w:val="20"/>
                <w:szCs w:val="20"/>
                <w:shd w:fill="E8E8E8" w:color="auto" w:val="clear"/>
              </w:rPr>
              <w:t xml:space="preserve">/t1-extract</w:t>
            </w:r>
          </w:p>
        </w:tc>
        <w:tc>
          <w:tcPr>
            <w:tcW w:type="dxa" w:w="3120"/>
            <w:shd w:fill="F2F2F2" w:color="auto" w:val="clear"/>
          </w:tcPr>
          <w:p>
            <w:pPr>
              <w:spacing w:after="40" w:before="40"/>
            </w:pPr>
            <w:r>
              <w:rPr>
                <w:sz w:val="22"/>
                <w:szCs w:val="22"/>
              </w:rPr>
              <w:t xml:space="preserve">POST</w:t>
            </w:r>
          </w:p>
        </w:tc>
        <w:tc>
          <w:tcPr>
            <w:tcW w:type="dxa" w:w="3120"/>
            <w:shd w:fill="F2F2F2" w:color="auto" w:val="clear"/>
          </w:tcPr>
          <w:p>
            <w:pPr>
              <w:spacing w:after="40" w:before="40"/>
            </w:pPr>
            <w:r>
              <w:rPr>
                <w:sz w:val="22"/>
                <w:szCs w:val="22"/>
              </w:rPr>
              <w:t xml:space="preserve">T1 tax return extraction. Parses uploaded tax returns; explicitly never extracts SINs.</w:t>
            </w:r>
          </w:p>
        </w:tc>
      </w:tr>
      <w:tr>
        <w:trPr>
          <w:tblHeader w:val="false"/>
        </w:trPr>
        <w:tc>
          <w:tcPr>
            <w:tcW w:type="dxa" w:w="3120"/>
            <w:shd w:fill="FFFFFF" w:color="auto" w:val="clear"/>
          </w:tcPr>
          <w:p>
            <w:pPr>
              <w:spacing w:after="40" w:before="40"/>
            </w:pPr>
            <w:r>
              <w:rPr>
                <w:rFonts w:ascii="Courier New" w:cs="Courier New" w:eastAsia="Courier New" w:hAnsi="Courier New"/>
                <w:sz w:val="20"/>
                <w:szCs w:val="20"/>
                <w:shd w:fill="E8E8E8" w:color="auto" w:val="clear"/>
              </w:rPr>
              <w:t xml:space="preserve">/download-report/:filename</w:t>
            </w:r>
          </w:p>
        </w:tc>
        <w:tc>
          <w:tcPr>
            <w:tcW w:type="dxa" w:w="3120"/>
            <w:shd w:fill="FFFFFF" w:color="auto" w:val="clear"/>
          </w:tcPr>
          <w:p>
            <w:pPr>
              <w:spacing w:after="40" w:before="40"/>
            </w:pPr>
            <w:r>
              <w:rPr>
                <w:sz w:val="22"/>
                <w:szCs w:val="22"/>
              </w:rPr>
              <w:t xml:space="preserve">GET</w:t>
            </w:r>
          </w:p>
        </w:tc>
        <w:tc>
          <w:tcPr>
            <w:tcW w:type="dxa" w:w="3120"/>
            <w:shd w:fill="FFFFFF" w:color="auto" w:val="clear"/>
          </w:tcPr>
          <w:p>
            <w:pPr>
              <w:spacing w:after="40" w:before="40"/>
            </w:pPr>
            <w:r>
              <w:rPr>
                <w:sz w:val="22"/>
                <w:szCs w:val="22"/>
              </w:rPr>
              <w:t xml:space="preserve">Serves generated PDF reports for download.</w:t>
            </w:r>
          </w:p>
        </w:tc>
      </w:tr>
    </w:tbl>
    <w:p>
      <w:pPr>
        <w:spacing w:after="120"/>
      </w:pPr>
    </w:p>
    <w:p>
      <w:pPr>
        <w:pBdr>
          <w:bottom w:val="single" w:color="BFBFBF" w:sz="6"/>
        </w:pBdr>
        <w:spacing w:after="120" w:before="120"/>
      </w:pPr>
    </w:p>
    <w:p>
      <w:pPr>
        <w:pStyle w:val="Heading2"/>
        <w:spacing w:after="120" w:before="240"/>
      </w:pPr>
      <w:r>
        <w:rPr>
          <w:sz w:val="22"/>
          <w:szCs w:val="22"/>
        </w:rPr>
        <w:t xml:space="preserve">Deployment notes</w:t>
      </w:r>
    </w:p>
    <w:p>
      <w:pPr>
        <w:pBdr>
          <w:left w:val="single" w:color="4472C4" w:sz="6" w:space="10"/>
        </w:pBdr>
        <w:shd w:fill="F2F7FC" w:color="auto" w:val="clear"/>
        <w:spacing w:after="120"/>
        <w:ind w:left="720"/>
      </w:pPr>
      <w:r>
        <w:rPr>
          <w:b/>
          <w:bCs/>
          <w:sz w:val="22"/>
          <w:szCs w:val="22"/>
        </w:rPr>
        <w:t xml:space="preserve">Full deployment documentation is in [ARCHITECTURE.md](ARCHITECTURE.md).</w:t>
      </w:r>
      <w:r>
        <w:rPr>
          <w:sz w:val="22"/>
          <w:szCs w:val="22"/>
        </w:rPr>
        <w:t xml:space="preserve"> This section covers only the calculator-specific deployment steps.</w:t>
      </w:r>
    </w:p>
    <w:p>
      <w:pPr>
        <w:spacing w:after="60"/>
        <w:ind w:left="360"/>
      </w:pPr>
      <w:r>
        <w:rPr>
          <w:sz w:val="22"/>
          <w:szCs w:val="22"/>
        </w:rPr>
        <w:t xml:space="preserve">1. Push code to the GitHub repository — the </w:t>
      </w:r>
      <w:r>
        <w:rPr>
          <w:rFonts w:ascii="Courier New" w:cs="Courier New" w:eastAsia="Courier New" w:hAnsi="Courier New"/>
          <w:sz w:val="20"/>
          <w:szCs w:val="20"/>
          <w:shd w:fill="E8E8E8" w:color="auto" w:val="clear"/>
        </w:rPr>
        <w:t xml:space="preserve">main</w:t>
      </w:r>
      <w:r>
        <w:rPr>
          <w:sz w:val="22"/>
          <w:szCs w:val="22"/>
        </w:rPr>
        <w:t xml:space="preserve"> branch triggers auto-deploy on</w:t>
      </w:r>
    </w:p>
    <w:p>
      <w:pPr>
        <w:spacing w:after="120" w:line="276"/>
      </w:pPr>
      <w:r>
        <w:rPr>
          <w:sz w:val="22"/>
          <w:szCs w:val="22"/>
        </w:rPr>
        <w:t xml:space="preserve">   Render for the backend and Vercel for the frontend.</w:t>
      </w:r>
    </w:p>
    <w:p>
      <w:pPr>
        <w:spacing w:after="60"/>
        <w:ind w:left="360"/>
      </w:pPr>
      <w:r>
        <w:rPr>
          <w:sz w:val="22"/>
          <w:szCs w:val="22"/>
        </w:rPr>
        <w:t xml:space="preserve">2. Add </w:t>
      </w:r>
      <w:r>
        <w:rPr>
          <w:rFonts w:ascii="Courier New" w:cs="Courier New" w:eastAsia="Courier New" w:hAnsi="Courier New"/>
          <w:sz w:val="20"/>
          <w:szCs w:val="20"/>
          <w:shd w:fill="E8E8E8" w:color="auto" w:val="clear"/>
        </w:rPr>
        <w:t xml:space="preserve">ANTHROPIC_API_KEY</w:t>
      </w:r>
      <w:r>
        <w:rPr>
          <w:sz w:val="22"/>
          <w:szCs w:val="22"/>
        </w:rPr>
        <w:t xml:space="preserve"> as an environment variable in the Render service dashboard.</w:t>
      </w:r>
    </w:p>
    <w:p>
      <w:pPr>
        <w:spacing w:after="60"/>
        <w:ind w:left="360"/>
      </w:pPr>
      <w:r>
        <w:rPr>
          <w:sz w:val="22"/>
          <w:szCs w:val="22"/>
        </w:rPr>
        <w:t xml:space="preserve">3. The backend auto-starts using the </w:t>
      </w:r>
      <w:r>
        <w:rPr>
          <w:color w:val="2B579A"/>
          <w:sz w:val="22"/>
          <w:szCs w:val="22"/>
          <w:u w:val="single"/>
        </w:rPr>
        <w:t xml:space="preserve">Procfile</w:t>
      </w:r>
      <w:r>
        <w:rPr>
          <w:sz w:val="22"/>
          <w:szCs w:val="22"/>
        </w:rPr>
        <w:t xml:space="preserve"> command. All calculator</w:t>
      </w:r>
    </w:p>
    <w:p>
      <w:pPr>
        <w:spacing w:after="120" w:line="276"/>
      </w:pPr>
      <w:r>
        <w:rPr>
          <w:sz w:val="22"/>
          <w:szCs w:val="22"/>
        </w:rPr>
        <w:t xml:space="preserve">   and AI chat endpoints are accessible at the Render service URL.</w:t>
      </w:r>
    </w:p>
    <w:p>
      <w:pPr>
        <w:spacing w:after="60"/>
        <w:ind w:left="360"/>
      </w:pPr>
      <w:r>
        <w:rPr>
          <w:sz w:val="22"/>
          <w:szCs w:val="22"/>
        </w:rPr>
        <w:t xml:space="preserve">4. The frontend React app is built and deployed via Vercel, configured with the</w:t>
      </w:r>
    </w:p>
    <w:p>
      <w:pPr>
        <w:spacing w:after="120" w:line="276"/>
      </w:pPr>
      <w:r>
        <w:rPr>
          <w:sz w:val="22"/>
          <w:szCs w:val="22"/>
        </w:rPr>
        <w:t xml:space="preserve">   </w:t>
      </w:r>
      <w:r>
        <w:rPr>
          <w:rFonts w:ascii="Courier New" w:cs="Courier New" w:eastAsia="Courier New" w:hAnsi="Courier New"/>
          <w:sz w:val="20"/>
          <w:szCs w:val="20"/>
          <w:shd w:fill="E8E8E8" w:color="auto" w:val="clear"/>
        </w:rPr>
        <w:t xml:space="preserve">CALCULATOR_API</w:t>
      </w:r>
      <w:r>
        <w:rPr>
          <w:sz w:val="22"/>
          <w:szCs w:val="22"/>
        </w:rPr>
        <w:t xml:space="preserve"> URL pointing to the Render backend.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2026-08-26T12:32:31.724Z</dcterms:created>
  <dcterms:modified xsi:type="dcterms:W3CDTF">2026-08-26T12:32:31.725Z</dcterms:modified>
</cp:coreProperties>
</file>

<file path=docProps/custom.xml><?xml version="1.0" encoding="utf-8"?>
<Properties xmlns="http://schemas.openxmlformats.org/officeDocument/2006/custom-properties" xmlns:vt="http://schemas.openxmlformats.org/officeDocument/2006/docPropsVTypes"/>
</file>