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213C0DAE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Forms</w:t>
      </w:r>
    </w:p>
    <w:p w14:paraId="3207264F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The </w:t>
      </w: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Forms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area is where a matter's court documents (family-law PDFs — Form 8A, Form 13, etc.) get created, prefilled from the matter's data, edited, saved, and exported as completed PDFs. It's reached from a matter's task list ("DRAFT DIVORCE APPLICATION DOCUMENTS") and produces the physical documents a lawyer files with the court.</w:t>
      </w:r>
    </w:p>
    <w:p w14:paraId="6DCBAB85">
      <w:pPr>
        <w:pStyle w:val="IntenseQuote"/>
      </w:pPr>
      <w:r>
        <w:rPr>
          <w:rFonts w:ascii="Calibri" w:hAnsi="Calibri" w:eastAsia="ＭＳ 明朝" w:cs="Calibri" w:eastAsiaTheme="minorEastAsia" w:csTheme="minorBidi"/>
          <w:b/>
          <w:bCs/>
          <w:i/>
          <w:iCs/>
          <w:color w:val="4F81BD" w:themeColor="accent1"/>
          <w:sz w:val="21"/>
          <w:szCs w:val="22"/>
        </w:rPr>
        <w:t>Provenance.</w:t>
      </w:r>
      <w:r>
        <w:rPr>
          <w:rFonts w:ascii="Calibri" w:hAnsi="Calibri" w:eastAsia="ＭＳ 明朝" w:cs="Calibri" w:eastAsiaTheme="minorEastAsia" w:csTheme="minorBidi"/>
          <w:b/>
          <w:bCs/>
          <w:i/>
          <w:iCs/>
          <w:color w:val="4F81BD" w:themeColor="accent1"/>
          <w:sz w:val="21"/>
          <w:szCs w:val="22"/>
        </w:rPr>
        <w:t xml:space="preserve"> Like the rest of </w:t>
      </w:r>
      <w:r>
        <w:rPr>
          <w:rFonts w:ascii="Consolas" w:hAnsi="Consolas" w:eastAsia="ＭＳ 明朝" w:cs="Consolas" w:eastAsiaTheme="minorEastAsia" w:csTheme="minorBidi"/>
          <w:b/>
          <w:bCs/>
          <w:i/>
          <w:iCs/>
          <w:color w:val="4F81BD" w:themeColor="accent1"/>
          <w:sz w:val="19"/>
          <w:szCs w:val="22"/>
        </w:rPr>
        <w:t>cloudact-ui/</w:t>
      </w:r>
      <w:r>
        <w:rPr>
          <w:rFonts w:ascii="Calibri" w:hAnsi="Calibri" w:eastAsia="ＭＳ 明朝" w:cs="Calibri" w:eastAsiaTheme="minorEastAsia" w:csTheme="minorBidi"/>
          <w:b/>
          <w:bCs/>
          <w:i/>
          <w:iCs/>
          <w:color w:val="4F81BD" w:themeColor="accent1"/>
          <w:sz w:val="21"/>
          <w:szCs w:val="22"/>
        </w:rPr>
        <w:t>, the forms pages were pulled from</w:t>
      </w:r>
    </w:p>
    <w:p w14:paraId="25563494">
      <w:pPr>
        <w:pStyle w:val="IntenseQuote"/>
      </w:pPr>
      <w:r>
        <w:rPr>
          <w:rFonts w:ascii="Consolas" w:hAnsi="Consolas" w:eastAsia="ＭＳ 明朝" w:cs="Consolas" w:eastAsiaTheme="minorEastAsia" w:csTheme="minorBidi"/>
          <w:b/>
          <w:bCs/>
          <w:i/>
          <w:iCs/>
          <w:color w:val="4F81BD" w:themeColor="accent1"/>
          <w:sz w:val="19"/>
          <w:szCs w:val="22"/>
        </w:rPr>
        <w:t>cloudact-frontend-main</w:t>
      </w:r>
      <w:r>
        <w:rPr>
          <w:rFonts w:ascii="Calibri" w:hAnsi="Calibri" w:eastAsia="ＭＳ 明朝" w:cs="Calibri" w:eastAsiaTheme="minorEastAsia" w:csTheme="minorBidi"/>
          <w:b/>
          <w:bCs/>
          <w:i/>
          <w:iCs/>
          <w:color w:val="4F81BD" w:themeColor="accent1"/>
          <w:sz w:val="21"/>
          <w:szCs w:val="22"/>
        </w:rPr>
        <w:t>, the UI for the main CloudAct SaaS platform. The original</w:t>
      </w:r>
    </w:p>
    <w:p w14:paraId="1AB4DDCA">
      <w:pPr>
        <w:pStyle w:val="IntenseQuote"/>
      </w:pPr>
      <w:r>
        <w:rPr>
          <w:rFonts w:ascii="Calibri" w:hAnsi="Calibri" w:eastAsia="ＭＳ 明朝" w:cs="Calibri" w:eastAsiaTheme="minorEastAsia" w:csTheme="minorBidi"/>
          <w:b/>
          <w:bCs/>
          <w:i/>
          <w:iCs/>
          <w:color w:val="4F81BD" w:themeColor="accent1"/>
          <w:sz w:val="21"/>
          <w:szCs w:val="22"/>
        </w:rPr>
        <w:t xml:space="preserve">app carried a large </w:t>
      </w:r>
      <w:r>
        <w:rPr>
          <w:rFonts w:ascii="Calibri" w:hAnsi="Calibri" w:eastAsia="ＭＳ 明朝" w:cs="Calibri" w:eastAsiaTheme="minorEastAsia" w:csTheme="minorBidi"/>
          <w:b/>
          <w:bCs/>
          <w:i/>
          <w:iCs/>
          <w:color w:val="4F81BD" w:themeColor="accent1"/>
          <w:sz w:val="21"/>
          <w:szCs w:val="22"/>
        </w:rPr>
        <w:t>client-side</w:t>
      </w:r>
      <w:r>
        <w:rPr>
          <w:rFonts w:ascii="Calibri" w:hAnsi="Calibri" w:eastAsia="ＭＳ 明朝" w:cs="Calibri" w:eastAsiaTheme="minorEastAsia" w:csTheme="minorBidi"/>
          <w:b/>
          <w:bCs/>
          <w:i/>
          <w:iCs/>
          <w:color w:val="4F81BD" w:themeColor="accent1"/>
          <w:sz w:val="21"/>
          <w:szCs w:val="22"/>
        </w:rPr>
        <w:t xml:space="preserve"> prefill/binding engine that mapped matter data</w:t>
      </w:r>
    </w:p>
    <w:p w14:paraId="36A14A7C">
      <w:pPr>
        <w:pStyle w:val="IntenseQuote"/>
      </w:pPr>
      <w:r>
        <w:rPr>
          <w:rFonts w:ascii="Calibri" w:hAnsi="Calibri" w:eastAsia="ＭＳ 明朝" w:cs="Calibri" w:eastAsiaTheme="minorEastAsia" w:csTheme="minorBidi"/>
          <w:b/>
          <w:bCs/>
          <w:i/>
          <w:iCs/>
          <w:color w:val="4F81BD" w:themeColor="accent1"/>
          <w:sz w:val="21"/>
          <w:szCs w:val="22"/>
        </w:rPr>
        <w:t>into PDF field values in the browser. That engine still physically exists in</w:t>
      </w:r>
    </w:p>
    <w:p w14:paraId="241795C9">
      <w:pPr>
        <w:pStyle w:val="IntenseQuote"/>
      </w:pPr>
      <w:hyperlink r:id="rId9">
        <w:r>
          <w:rPr>
            <w:rFonts w:ascii="Calibri" w:hAnsi="Calibri" w:eastAsia="ＭＳ 明朝" w:cs="Calibri" w:eastAsiaTheme="minorEastAsia" w:csTheme="minorBidi"/>
            <w:b/>
            <w:bCs/>
            <w:i/>
            <w:iCs/>
            <w:color w:val="0563C1"/>
            <w:sz w:val="21"/>
            <w:szCs w:val="22"/>
            <w:u w:val="single"/>
          </w:rPr>
          <w:t>FillPdf.jsx</w:t>
        </w:r>
      </w:hyperlink>
      <w:r>
        <w:rPr>
          <w:rFonts w:ascii="Calibri" w:hAnsi="Calibri" w:eastAsia="ＭＳ 明朝" w:cs="Calibri" w:eastAsiaTheme="minorEastAsia" w:csTheme="minorBidi"/>
          <w:b/>
          <w:bCs/>
          <w:i/>
          <w:iCs/>
          <w:color w:val="4F81BD" w:themeColor="accent1"/>
          <w:sz w:val="21"/>
          <w:szCs w:val="22"/>
        </w:rPr>
        <w:t xml:space="preserve"> but is **commented out and</w:t>
      </w:r>
    </w:p>
    <w:p w14:paraId="6810BBF4">
      <w:pPr>
        <w:pStyle w:val="IntenseQuote"/>
      </w:pPr>
      <w:r>
        <w:rPr>
          <w:rFonts w:ascii="Calibri" w:hAnsi="Calibri" w:eastAsia="ＭＳ 明朝" w:cs="Calibri" w:eastAsiaTheme="minorEastAsia" w:csTheme="minorBidi"/>
          <w:b/>
          <w:bCs/>
          <w:i/>
          <w:iCs/>
          <w:color w:val="4F81BD" w:themeColor="accent1"/>
          <w:sz w:val="21"/>
          <w:szCs w:val="22"/>
        </w:rPr>
        <w:t>retired** — prefilled values and field mappings now arrive ready-made from the</w:t>
      </w:r>
    </w:p>
    <w:p w14:paraId="62971A3C">
      <w:pPr>
        <w:pStyle w:val="IntenseQuote"/>
      </w:pPr>
      <w:r>
        <w:rPr>
          <w:rFonts w:ascii="Calibri" w:hAnsi="Calibri" w:eastAsia="ＭＳ 明朝" w:cs="Calibri" w:eastAsiaTheme="minorEastAsia" w:csTheme="minorBidi"/>
          <w:b/>
          <w:bCs/>
          <w:i/>
          <w:iCs/>
          <w:color w:val="4F81BD" w:themeColor="accent1"/>
          <w:sz w:val="21"/>
          <w:szCs w:val="22"/>
        </w:rPr>
        <w:t>authenticated Forms API. Understanding this "old vs new" split is the single most</w:t>
      </w:r>
    </w:p>
    <w:p w14:paraId="409FCF6D">
      <w:pPr>
        <w:pStyle w:val="IntenseQuote"/>
      </w:pPr>
      <w:r>
        <w:rPr>
          <w:rFonts w:ascii="Calibri" w:hAnsi="Calibri" w:eastAsia="ＭＳ 明朝" w:cs="Calibri" w:eastAsiaTheme="minorEastAsia" w:csTheme="minorBidi"/>
          <w:b/>
          <w:bCs/>
          <w:i/>
          <w:iCs/>
          <w:color w:val="4F81BD" w:themeColor="accent1"/>
          <w:sz w:val="21"/>
          <w:szCs w:val="22"/>
        </w:rPr>
        <w:t>important thing about this code.</w:t>
      </w:r>
    </w:p>
    <w:p w14:paraId="32467B6A">
      <w:pPr>
        <w:spacing w:after="200" w:line="276" w:lineRule="auto"/>
      </w:pPr>
    </w:p>
    <w:p w14:paraId="75B3E907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Where it lives</w:t>
      </w:r>
    </w:p>
    <w:tbl>
      <w:tblPr>
        <w:tblStyle w:val="LightGrid-Accent1"/>
        <w:tblW w:w="0" w:type="auto"/>
        <w:tbl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320"/>
        <w:gridCol w:w="4320"/>
      </w:tblGrid>
      <w:tr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  <w:insideH w:val="nil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9662B">
            <w:pPr>
              <w:spacing w:after="200" w:line="276" w:lineRule="auto"/>
            </w:pPr>
            <w:r>
              <w:rPr>
                <w:rFonts w:ascii="Calibri" w:hAnsi="Calibri" w:eastAsia="ＭＳ ゴシック" w:cs="Calibri" w:asciiTheme="majorHAnsi" w:hAnsiTheme="majorHAnsi" w:eastAsiaTheme="majorEastAsia" w:csTheme="majorBidi"/>
                <w:b/>
                <w:bCs/>
                <w:sz w:val="22"/>
                <w:szCs w:val="22"/>
              </w:rPr>
              <w:t>Piece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  <w:insideH w:val="nil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C878E9">
            <w:pPr>
              <w:spacing w:after="200" w:line="276" w:lineRule="auto"/>
            </w:pPr>
            <w:r>
              <w:rPr>
                <w:rFonts w:ascii="Calibri" w:hAnsi="Calibri" w:eastAsia="ＭＳ ゴシック" w:cs="Calibri" w:asciiTheme="majorHAnsi" w:hAnsiTheme="majorHAnsi" w:eastAsiaTheme="majorEastAsia" w:csTheme="majorBidi"/>
                <w:b/>
                <w:bCs/>
                <w:sz w:val="22"/>
                <w:szCs w:val="22"/>
              </w:rPr>
              <w:t>File</w:t>
            </w:r>
          </w:p>
        </w:tc>
      </w:tr>
      <w:tr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shd w:val="clear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2B303D">
            <w:pPr>
              <w:spacing w:after="200" w:line="276" w:lineRule="auto"/>
            </w:pPr>
            <w:r>
              <w:rPr>
                <w:rFonts w:ascii="Calibri" w:hAnsi="Calibri" w:eastAsia="ＭＳ ゴシック" w:cs="Calibri" w:asciiTheme="majorHAnsi" w:hAnsiTheme="majorHAnsi" w:eastAsiaTheme="majorEastAsia" w:csTheme="majorBidi"/>
                <w:b/>
                <w:bCs/>
                <w:sz w:val="22"/>
                <w:szCs w:val="22"/>
              </w:rPr>
              <w:t>Create-new-form page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shd w:val="clear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4B02B6">
            <w:pPr>
              <w:spacing w:after="200" w:line="276" w:lineRule="auto"/>
            </w:pPr>
            <w:hyperlink r:id="rId10">
              <w:r>
                <w:rPr>
                  <w:rFonts w:ascii="Calibri" w:hAnsi="Calibri" w:eastAsia="ＭＳ 明朝" w:cs="Calibri" w:eastAsiaTheme="minorEastAsia" w:csTheme="minorBidi"/>
                  <w:color w:val="0563C1"/>
                  <w:sz w:val="21"/>
                  <w:szCs w:val="22"/>
                  <w:u w:val="single"/>
                </w:rPr>
                <w:t>cloudact-ui/src/pages/formPages/CreateNewFormPage.jsx</w:t>
              </w:r>
            </w:hyperlink>
          </w:p>
        </w:tc>
      </w:tr>
      <w:tr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3ED005">
            <w:pPr>
              <w:spacing w:after="200" w:line="276" w:lineRule="auto"/>
            </w:pPr>
            <w:r>
              <w:rPr>
                <w:rFonts w:ascii="Calibri" w:hAnsi="Calibri" w:eastAsia="ＭＳ ゴシック" w:cs="Calibri" w:asciiTheme="majorHAnsi" w:hAnsiTheme="majorHAnsi" w:eastAsiaTheme="majorEastAsia" w:csTheme="majorBidi"/>
                <w:b/>
                <w:bCs/>
                <w:sz w:val="22"/>
                <w:szCs w:val="22"/>
              </w:rPr>
              <w:t>Form editor / viewer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F61599">
            <w:pPr>
              <w:spacing w:after="200" w:line="276" w:lineRule="auto"/>
            </w:pPr>
            <w:hyperlink r:id="rId9">
              <w:r>
                <w:rPr>
                  <w:rFonts w:ascii="Calibri" w:hAnsi="Calibri" w:eastAsia="ＭＳ 明朝" w:cs="Calibri" w:eastAsiaTheme="minorEastAsia" w:csTheme="minorBidi"/>
                  <w:color w:val="0563C1"/>
                  <w:sz w:val="21"/>
                  <w:szCs w:val="22"/>
                  <w:u w:val="single"/>
                </w:rPr>
                <w:t>cloudact-ui/src/pages/formPages/FillPdf.jsx</w:t>
              </w:r>
            </w:hyperlink>
          </w:p>
        </w:tc>
      </w:tr>
      <w:tr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shd w:val="clear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B14D6">
            <w:pPr>
              <w:spacing w:after="200" w:line="276" w:lineRule="auto"/>
            </w:pPr>
            <w:r>
              <w:rPr>
                <w:rFonts w:ascii="Calibri" w:hAnsi="Calibri" w:eastAsia="ＭＳ ゴシック" w:cs="Calibri" w:asciiTheme="majorHAnsi" w:hAnsiTheme="majorHAnsi" w:eastAsiaTheme="majorEastAsia" w:csTheme="majorBidi"/>
                <w:b/>
                <w:bCs/>
                <w:sz w:val="22"/>
                <w:szCs w:val="22"/>
              </w:rPr>
              <w:t>PDF render + field overlays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shd w:val="clear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CCF6B2">
            <w:pPr>
              <w:spacing w:after="200" w:line="276" w:lineRule="auto"/>
            </w:pPr>
            <w:hyperlink r:id="rId11">
              <w:r>
                <w:rPr>
                  <w:rFonts w:ascii="Calibri" w:hAnsi="Calibri" w:eastAsia="ＭＳ 明朝" w:cs="Calibri" w:eastAsiaTheme="minorEastAsia" w:csTheme="minorBidi"/>
                  <w:color w:val="0563C1"/>
                  <w:sz w:val="21"/>
                  <w:szCs w:val="22"/>
                  <w:u w:val="single"/>
                </w:rPr>
                <w:t>cloudact-ui/src/pages/formPages/PDFViewer.jsx</w:t>
              </w:r>
            </w:hyperlink>
          </w:p>
        </w:tc>
      </w:tr>
      <w:tr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D7F1A">
            <w:pPr>
              <w:spacing w:after="200" w:line="276" w:lineRule="auto"/>
            </w:pPr>
            <w:r>
              <w:rPr>
                <w:rFonts w:ascii="Calibri" w:hAnsi="Calibri" w:eastAsia="ＭＳ ゴシック" w:cs="Calibri" w:asciiTheme="majorHAnsi" w:hAnsiTheme="majorHAnsi" w:eastAsiaTheme="majorEastAsia" w:csTheme="majorBidi"/>
                <w:b/>
                <w:bCs/>
                <w:sz w:val="22"/>
                <w:szCs w:val="22"/>
              </w:rPr>
              <w:t>API service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31EC40">
            <w:pPr>
              <w:spacing w:after="200" w:line="276" w:lineRule="auto"/>
            </w:pPr>
            <w:hyperlink r:id="rId12">
              <w:r>
                <w:rPr>
                  <w:rFonts w:ascii="Calibri" w:hAnsi="Calibri" w:eastAsia="ＭＳ 明朝" w:cs="Calibri" w:eastAsiaTheme="minorEastAsia" w:csTheme="minorBidi"/>
                  <w:color w:val="0563C1"/>
                  <w:sz w:val="21"/>
                  <w:szCs w:val="22"/>
                  <w:u w:val="single"/>
                </w:rPr>
                <w:t>cloudact-ui/src/services/formsService.js</w:t>
              </w:r>
            </w:hyperlink>
          </w:p>
        </w:tc>
      </w:tr>
      <w:tr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shd w:val="clear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C8FFB">
            <w:pPr>
              <w:spacing w:after="200" w:line="276" w:lineRule="auto"/>
            </w:pPr>
            <w:r>
              <w:rPr>
                <w:rFonts w:ascii="Calibri" w:hAnsi="Calibri" w:eastAsia="ＭＳ ゴシック" w:cs="Calibri" w:asciiTheme="majorHAnsi" w:hAnsiTheme="majorHAnsi" w:eastAsiaTheme="majorEastAsia" w:csTheme="majorBidi"/>
                <w:b/>
                <w:bCs/>
                <w:sz w:val="22"/>
                <w:szCs w:val="22"/>
              </w:rPr>
              <w:t>Form catalog builder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shd w:val="clear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CC1D4E">
            <w:pPr>
              <w:spacing w:after="200" w:line="276" w:lineRule="auto"/>
            </w:pPr>
            <w:hyperlink r:id="rId13">
              <w:r>
                <w:rPr>
                  <w:rFonts w:ascii="Calibri" w:hAnsi="Calibri" w:eastAsia="ＭＳ 明朝" w:cs="Calibri" w:eastAsiaTheme="minorEastAsia" w:csTheme="minorBidi"/>
                  <w:color w:val="0563C1"/>
                  <w:sz w:val="21"/>
                  <w:szCs w:val="22"/>
                  <w:u w:val="single"/>
                </w:rPr>
                <w:t>cloudact-ui/src/utils/matterData/MatterFormData.jsx</w:t>
              </w:r>
            </w:hyperlink>
          </w:p>
        </w:tc>
      </w:tr>
      <w:tr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3D1EF">
            <w:pPr>
              <w:spacing w:after="200" w:line="276" w:lineRule="auto"/>
            </w:pPr>
            <w:r>
              <w:rPr>
                <w:rFonts w:ascii="Calibri" w:hAnsi="Calibri" w:eastAsia="ＭＳ ゴシック" w:cs="Calibri" w:asciiTheme="majorHAnsi" w:hAnsiTheme="majorHAnsi" w:eastAsiaTheme="majorEastAsia" w:csTheme="majorBidi"/>
                <w:b/>
                <w:bCs/>
                <w:sz w:val="22"/>
                <w:szCs w:val="22"/>
              </w:rPr>
              <w:t>Toolbar (zoom/paging)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5FD84D">
            <w:pPr>
              <w:spacing w:after="200" w:line="276" w:lineRule="auto"/>
            </w:pPr>
            <w:hyperlink r:id="rId14">
              <w:r>
                <w:rPr>
                  <w:rFonts w:ascii="Calibri" w:hAnsi="Calibri" w:eastAsia="ＭＳ 明朝" w:cs="Calibri" w:eastAsiaTheme="minorEastAsia" w:csTheme="minorBidi"/>
                  <w:color w:val="0563C1"/>
                  <w:sz w:val="21"/>
                  <w:szCs w:val="22"/>
                  <w:u w:val="single"/>
                </w:rPr>
                <w:t>cloudact-ui/src/components/FormPages/forms/newComponents/ModernToolbar.jsx</w:t>
              </w:r>
            </w:hyperlink>
          </w:p>
        </w:tc>
      </w:tr>
      <w:tr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shd w:val="clear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0BB7F">
            <w:pPr>
              <w:spacing w:after="200" w:line="276" w:lineRule="auto"/>
            </w:pPr>
            <w:r>
              <w:rPr>
                <w:rFonts w:ascii="Calibri" w:hAnsi="Calibri" w:eastAsia="ＭＳ ゴシック" w:cs="Calibri" w:asciiTheme="majorHAnsi" w:hAnsiTheme="majorHAnsi" w:eastAsiaTheme="majorEastAsia" w:csTheme="majorBidi"/>
                <w:b/>
                <w:bCs/>
                <w:sz w:val="22"/>
                <w:szCs w:val="22"/>
              </w:rPr>
              <w:t>Calculation manager (sidebar)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shd w:val="clear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95586D">
            <w:pPr>
              <w:spacing w:after="200" w:line="276" w:lineRule="auto"/>
            </w:pPr>
            <w:hyperlink r:id="rId15">
              <w:r>
                <w:rPr>
                  <w:rFonts w:ascii="Calibri" w:hAnsi="Calibri" w:eastAsia="ＭＳ 明朝" w:cs="Calibri" w:eastAsiaTheme="minorEastAsia" w:csTheme="minorBidi"/>
                  <w:color w:val="0563C1"/>
                  <w:sz w:val="21"/>
                  <w:szCs w:val="22"/>
                  <w:u w:val="single"/>
                </w:rPr>
                <w:t>cloudact-ui/src/components/FormPages/forms/newComponents/CalculationManager.jsx</w:t>
              </w:r>
            </w:hyperlink>
          </w:p>
        </w:tc>
      </w:tr>
    </w:tbl>
    <w:p w14:paraId="2AF762D1">
      <w:pPr>
        <w:spacing w:after="200" w:line="276" w:lineRule="auto"/>
      </w:pPr>
    </w:p>
    <w:p w14:paraId="0C186DF4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>Routes involved (</w:t>
      </w:r>
      <w:hyperlink r:id="rId16">
        <w:r>
          <w:rPr>
            <w:rFonts w:ascii="Calibri" w:hAnsi="Calibri" w:eastAsia="ＭＳ 明朝" w:cs="Calibri" w:eastAsiaTheme="minorEastAsia" w:csTheme="minorBidi"/>
            <w:color w:val="0563C1"/>
            <w:sz w:val="21"/>
            <w:szCs w:val="22"/>
            <w:u w:val="single"/>
          </w:rPr>
          <w:t>Routes.jsx</w:t>
        </w:r>
      </w:hyperlink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, </w:t>
      </w:r>
      <w:hyperlink r:id="rId17">
        <w:r>
          <w:rPr>
            <w:rFonts w:ascii="Calibri" w:hAnsi="Calibri" w:eastAsia="ＭＳ 明朝" w:cs="Calibri" w:eastAsiaTheme="minorEastAsia" w:csTheme="minorBidi"/>
            <w:color w:val="0563C1"/>
            <w:sz w:val="21"/>
            <w:szCs w:val="22"/>
            <w:u w:val="single"/>
          </w:rPr>
          <w:t>Routes.types.ts</w:t>
        </w:r>
      </w:hyperlink>
      <w:r>
        <w:rPr>
          <w:rFonts w:ascii="Calibri" w:hAnsi="Calibri" w:eastAsia="ＭＳ 明朝" w:cs="Calibri" w:eastAsiaTheme="minorEastAsia" w:csTheme="minorBidi"/>
          <w:sz w:val="21"/>
          <w:szCs w:val="22"/>
        </w:rPr>
        <w:t>):</w:t>
      </w:r>
    </w:p>
    <w:p w14:paraId="3F813914">
      <w:pPr>
        <w:pStyle w:val="ListBullet"/>
        <w:ind w:left="360" w:hanging="360"/>
      </w:pPr>
      <w:r>
        <w:rPr>
          <w:rFonts w:ascii="Consolas" w:hAnsi="Consolas" w:eastAsia="ＭＳ 明朝" w:cs="Consolas" w:eastAsiaTheme="minorEastAsia" w:csTheme="minorBidi"/>
          <w:sz w:val="19"/>
          <w:szCs w:val="22"/>
        </w:rPr>
        <w:t>/forms/create-new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→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CreateNewFormPage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(pick a matter, a folder, and which forms)</w:t>
      </w:r>
    </w:p>
    <w:p w14:paraId="433F66DF">
      <w:pPr>
        <w:pStyle w:val="ListBullet"/>
        <w:ind w:left="360" w:hanging="360"/>
      </w:pPr>
      <w:r>
        <w:rPr>
          <w:rFonts w:ascii="Consolas" w:hAnsi="Consolas" w:eastAsia="ＭＳ 明朝" w:cs="Consolas" w:eastAsiaTheme="minorEastAsia" w:csTheme="minorBidi"/>
          <w:sz w:val="19"/>
          <w:szCs w:val="22"/>
        </w:rPr>
        <w:t>/matters/:matterNumber/forms/:documentId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→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FillPdf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(open one saved form document)</w:t>
      </w:r>
    </w:p>
    <w:p w14:paraId="63541F3F">
      <w:pPr>
        <w:pStyle w:val="ListBullet"/>
        <w:ind w:left="360" w:hanging="360"/>
      </w:pPr>
      <w:r>
        <w:rPr>
          <w:rFonts w:ascii="Consolas" w:hAnsi="Consolas" w:eastAsia="ＭＳ 明朝" w:cs="Consolas" w:eastAsiaTheme="minorEastAsia" w:csTheme="minorBidi"/>
          <w:sz w:val="19"/>
          <w:szCs w:val="22"/>
        </w:rPr>
        <w:t>/forms/create-new/fill-pdf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and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/forms/create-new/fill-information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→ **legacy</w:t>
      </w:r>
    </w:p>
    <w:p w14:paraId="2D61C7F5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routes, now redirect** back to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/forms/create-new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.</w:t>
      </w:r>
    </w:p>
    <w:p w14:paraId="76B1411B">
      <w:pPr>
        <w:spacing w:after="200" w:line="276" w:lineRule="auto"/>
      </w:pPr>
    </w:p>
    <w:p w14:paraId="226E06A9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Step 1 — Create new form(s)</w:t>
      </w:r>
    </w:p>
    <w:p w14:paraId="5B75681D">
      <w:pPr>
        <w:spacing w:after="200" w:line="276" w:lineRule="auto"/>
      </w:pPr>
      <w:hyperlink r:id="rId10">
        <w:r>
          <w:rPr>
            <w:rFonts w:ascii="Calibri" w:hAnsi="Calibri" w:eastAsia="ＭＳ 明朝" w:cs="Calibri" w:eastAsiaTheme="minorEastAsia" w:csTheme="minorBidi"/>
            <w:color w:val="0563C1"/>
            <w:sz w:val="21"/>
            <w:szCs w:val="22"/>
            <w:u w:val="single"/>
          </w:rPr>
          <w:t>CreateNewFormPage.jsx</w:t>
        </w:r>
      </w:hyperlink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is the entry point. Flow:</w:t>
      </w:r>
    </w:p>
    <w:p w14:paraId="54455F38">
      <w:pPr>
        <w:pStyle w:val="ListNumber"/>
        <w:ind w:left="360" w:hanging="360"/>
      </w:pP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Pick a matter.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On mount it loads the user's matters via</w:t>
      </w:r>
    </w:p>
    <w:p w14:paraId="68AB8D1E">
      <w:pPr>
        <w:spacing w:after="200" w:line="276" w:lineRule="auto"/>
      </w:pPr>
      <w:r>
        <w:rPr>
          <w:rFonts w:ascii="Consolas" w:hAnsi="Consolas" w:eastAsia="ＭＳ 明朝" w:cs="Consolas" w:eastAsiaTheme="minorEastAsia" w:csTheme="minorBidi"/>
          <w:sz w:val="19"/>
          <w:szCs w:val="22"/>
        </w:rPr>
        <w:t>formsService.listMatters()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into a dropdown. When arriving from a matter task, the matter number comes in through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location.state.matterNumber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and pre-fills the dropdown.</w:t>
      </w:r>
    </w:p>
    <w:p w14:paraId="4194E1E5">
      <w:pPr>
        <w:pStyle w:val="ListNumber"/>
        <w:ind w:left="360" w:hanging="360"/>
      </w:pP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Load matter context.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Whenever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formData.matterNumber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changes, it calls</w:t>
      </w:r>
    </w:p>
    <w:p w14:paraId="58CA73FF">
      <w:pPr>
        <w:spacing w:after="200" w:line="276" w:lineRule="auto"/>
      </w:pPr>
      <w:r>
        <w:rPr>
          <w:rFonts w:ascii="Consolas" w:hAnsi="Consolas" w:eastAsia="ＭＳ 明朝" w:cs="Consolas" w:eastAsiaTheme="minorEastAsia" w:csTheme="minorBidi"/>
          <w:sz w:val="19"/>
          <w:szCs w:val="22"/>
        </w:rPr>
        <w:t>formsService.getMatterContext(matterNumber)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to get the matter's </w:t>
      </w: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province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and client name. The province drives which forms are available.</w:t>
      </w:r>
    </w:p>
    <w:p w14:paraId="57B27A7E">
      <w:pPr>
        <w:pStyle w:val="ListNumber"/>
        <w:ind w:left="360" w:hanging="360"/>
      </w:pP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Load the form catalog for that province.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FormsArray(province, true, true)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from</w:t>
      </w:r>
    </w:p>
    <w:p w14:paraId="4C8261A5">
      <w:pPr>
        <w:spacing w:after="200" w:line="276" w:lineRule="auto"/>
      </w:pPr>
      <w:hyperlink r:id="rId13">
        <w:r>
          <w:rPr>
            <w:rFonts w:ascii="Calibri" w:hAnsi="Calibri" w:eastAsia="ＭＳ 明朝" w:cs="Calibri" w:eastAsiaTheme="minorEastAsia" w:csTheme="minorBidi"/>
            <w:color w:val="0563C1"/>
            <w:sz w:val="21"/>
            <w:szCs w:val="22"/>
            <w:u w:val="single"/>
          </w:rPr>
          <w:t>MatterFormData.jsx</w:t>
        </w:r>
      </w:hyperlink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hits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GET /forms?province=&lt;XX&gt;&amp;production_ready=true&amp;mapping_ready=true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. It normalizes province names (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ontario → ON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,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alberta → AB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,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british columbia → BC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) and groups the returned templates into </w:t>
      </w: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category folders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dynamically (ordered by the API's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sortOrder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, then title) — so any catalogued category becomes its own folder, not just a hardcoded Divorce / Child-Protection pair.</w:t>
      </w:r>
    </w:p>
    <w:p w14:paraId="7400B0FE">
      <w:pPr>
        <w:pStyle w:val="ListNumber"/>
        <w:ind w:left="360" w:hanging="360"/>
      </w:pP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Pick / create a folder.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Forms must be saved into a folder. The page lists</w:t>
      </w:r>
    </w:p>
    <w:p w14:paraId="41CA03EB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>existing folders (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formsService.listFolders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) and lets you create one (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formsService.createFolder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). You can't create forms without selecting a folder.</w:t>
      </w:r>
    </w:p>
    <w:p w14:paraId="3B38E024">
      <w:pPr>
        <w:pStyle w:val="ListNumber"/>
        <w:ind w:left="360" w:hanging="360"/>
      </w:pP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Select forms.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Clicking a category opens the "Add Forms" modal</w:t>
      </w:r>
    </w:p>
    <w:p w14:paraId="6CCF6AF5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>(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GeneralModal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), which has a searchable list of that category's forms with checkboxes. Selected forms show as chips on the main page (removable via the ✕). Only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status === "active"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forms are offered.</w:t>
      </w:r>
    </w:p>
    <w:p w14:paraId="67217568">
      <w:pPr>
        <w:pStyle w:val="ListNumber"/>
        <w:ind w:left="360" w:hanging="360"/>
      </w:pP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Create.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handleCreateNewFormSubmit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gathers every checked form and calls</w:t>
      </w:r>
    </w:p>
    <w:p w14:paraId="007C701B">
      <w:pPr>
        <w:spacing w:after="200" w:line="276" w:lineRule="auto"/>
      </w:pPr>
      <w:r>
        <w:rPr>
          <w:rFonts w:ascii="Consolas" w:hAnsi="Consolas" w:eastAsia="ＭＳ 明朝" w:cs="Consolas" w:eastAsiaTheme="minorEastAsia" w:csTheme="minorBidi"/>
          <w:sz w:val="19"/>
          <w:szCs w:val="22"/>
        </w:rPr>
        <w:t>formsService.createDocuments(matterNumber, folderId, templateIds)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. That returns the newly-created </w:t>
      </w: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document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records; the page navigates to the first one at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/matters/&lt;matterNumber&gt;/forms/&lt;documentId&gt;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— i.e. straight into the editor.</w:t>
      </w:r>
    </w:p>
    <w:p w14:paraId="73DB2748">
      <w:pPr>
        <w:spacing w:after="200" w:line="276" w:lineRule="auto"/>
      </w:pPr>
      <w:r>
        <w:rPr>
          <w:rFonts w:ascii="Consolas" w:hAnsi="Consolas" w:eastAsia="ＭＳ 明朝" w:cs="Consolas" w:eastAsiaTheme="minorEastAsia" w:csTheme="minorBidi"/>
          <w:sz w:val="19"/>
          <w:szCs w:val="22"/>
        </w:rPr>
        <w:t>production_ready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/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mapping_ready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filters ensure only forms that are actually finished *and* have a working field mapping are offered — see the migration status in the project's forms migration notes.</w:t>
      </w:r>
    </w:p>
    <w:p w14:paraId="05A7682B">
      <w:pPr>
        <w:spacing w:after="200" w:line="276" w:lineRule="auto"/>
      </w:pPr>
    </w:p>
    <w:p w14:paraId="78659550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Step 2 — Fill / view a form</w:t>
      </w:r>
    </w:p>
    <w:p w14:paraId="11E09C3D">
      <w:pPr>
        <w:spacing w:after="200" w:line="276" w:lineRule="auto"/>
      </w:pPr>
      <w:hyperlink r:id="rId9">
        <w:r>
          <w:rPr>
            <w:rFonts w:ascii="Calibri" w:hAnsi="Calibri" w:eastAsia="ＭＳ 明朝" w:cs="Calibri" w:eastAsiaTheme="minorEastAsia" w:csTheme="minorBidi"/>
            <w:color w:val="0563C1"/>
            <w:sz w:val="21"/>
            <w:szCs w:val="22"/>
            <w:u w:val="single"/>
          </w:rPr>
          <w:t>FillPdf.jsx</w:t>
        </w:r>
      </w:hyperlink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is the editor. It's a big file, but most of its length is the </w:t>
      </w: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retired legacy prefill engine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(a ~1,400-line commented-out block,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bindFieldsToData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and friends). The live logic is at the top and bottom of the file. The legacy code was from the migrated old SASS platform, and is there for reference. </w:t>
      </w:r>
    </w:p>
    <w:p w14:paraId="30678211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1"/>
          <w:szCs w:val="22"/>
        </w:rPr>
        <w:t>Loading a document</w:t>
      </w:r>
    </w:p>
    <w:p w14:paraId="2E195C1F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Keyed off the route params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:matterNumber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/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:documentId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, it loads two things in parallel:</w:t>
      </w:r>
    </w:p>
    <w:p w14:paraId="4C10569C">
      <w:pPr>
        <w:pStyle w:val="ListBullet"/>
        <w:ind w:left="360" w:hanging="360"/>
      </w:pPr>
      <w:r>
        <w:rPr>
          <w:rFonts w:ascii="Consolas" w:hAnsi="Consolas" w:eastAsia="ＭＳ 明朝" w:cs="Consolas" w:eastAsiaTheme="minorEastAsia" w:csTheme="minorBidi"/>
          <w:sz w:val="19"/>
          <w:szCs w:val="22"/>
        </w:rPr>
        <w:t>formsService.getDocument(matterNumber, documentId)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→ the saved </w:t>
      </w: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document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:</w:t>
      </w:r>
    </w:p>
    <w:p w14:paraId="7DA4553E">
      <w:pPr>
        <w:spacing w:after="200" w:line="276" w:lineRule="auto"/>
      </w:pPr>
      <w:r>
        <w:rPr>
          <w:rFonts w:ascii="Consolas" w:hAnsi="Consolas" w:eastAsia="ＭＳ 明朝" w:cs="Consolas" w:eastAsiaTheme="minorEastAsia" w:csTheme="minorBidi"/>
          <w:sz w:val="19"/>
          <w:szCs w:val="22"/>
        </w:rPr>
        <w:t>id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,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docId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,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file_name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,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folder_id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,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revision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,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template_version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, and the two things that matter most:</w:t>
      </w:r>
    </w:p>
    <w:p w14:paraId="6B48A792">
      <w:pPr>
        <w:pStyle w:val="ListBullet2"/>
        <w:ind w:left="720" w:hanging="360"/>
      </w:pPr>
      <w:r>
        <w:rPr>
          <w:rFonts w:ascii="Consolas" w:hAnsi="Consolas" w:eastAsia="ＭＳ 明朝" w:cs="Consolas" w:eastAsiaTheme="minorEastAsia" w:csTheme="minorBidi"/>
          <w:sz w:val="19"/>
          <w:szCs w:val="22"/>
        </w:rPr>
        <w:t>mapping.staticFields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— the field definitions (id, type, page, x/y/width/height,</w:t>
      </w:r>
    </w:p>
    <w:p w14:paraId="47109B8E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font, color, etc.). </w:t>
      </w: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These come from the server now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, not from client-side code.</w:t>
      </w:r>
    </w:p>
    <w:p w14:paraId="582B08C4">
      <w:pPr>
        <w:pStyle w:val="ListBullet2"/>
        <w:ind w:left="720" w:hanging="360"/>
      </w:pPr>
      <w:r>
        <w:rPr>
          <w:rFonts w:ascii="Consolas" w:hAnsi="Consolas" w:eastAsia="ＭＳ 明朝" w:cs="Consolas" w:eastAsiaTheme="minorEastAsia" w:csTheme="minorBidi"/>
          <w:sz w:val="19"/>
          <w:szCs w:val="22"/>
        </w:rPr>
        <w:t>fieldValues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— the prefilled/saved values keyed by field id.</w:t>
      </w:r>
    </w:p>
    <w:p w14:paraId="3A03084D">
      <w:pPr>
        <w:pStyle w:val="ListBullet"/>
        <w:ind w:left="360" w:hanging="360"/>
      </w:pPr>
      <w:r>
        <w:rPr>
          <w:rFonts w:ascii="Consolas" w:hAnsi="Consolas" w:eastAsia="ＭＳ 明朝" w:cs="Consolas" w:eastAsiaTheme="minorEastAsia" w:csTheme="minorBidi"/>
          <w:sz w:val="19"/>
          <w:szCs w:val="22"/>
        </w:rPr>
        <w:t>formsService.listDocuments(matterNumber)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→ all saved forms for that matter, used to</w:t>
      </w:r>
    </w:p>
    <w:p w14:paraId="679A420B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>populate the "List of Forms" sidebar so you can jump between sibling documents.</w:t>
      </w:r>
    </w:p>
    <w:p w14:paraId="49349948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The active form's PDF is then fetched as a blob from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/form-templates/&lt;docId&gt;/versions/&lt;template_version&gt;/pdf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and turned into an object URL.</w:t>
      </w:r>
    </w:p>
    <w:p w14:paraId="0F1C8EA6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1"/>
          <w:szCs w:val="22"/>
        </w:rPr>
        <w:t>Building the on-screen form</w:t>
      </w:r>
    </w:p>
    <w:p w14:paraId="1ACE0429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When both the PDF blob and the document are ready,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loadPdf()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:</w:t>
      </w:r>
    </w:p>
    <w:p w14:paraId="56B04291">
      <w:pPr>
        <w:pStyle w:val="ListNumber"/>
        <w:ind w:left="360" w:hanging="360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Loads the PDF with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pdf-lib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to read the page count.</w:t>
      </w:r>
    </w:p>
    <w:p w14:paraId="469E8E34">
      <w:pPr>
        <w:pStyle w:val="ListNumber"/>
        <w:ind w:left="360" w:hanging="360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Takes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remoteDocument.mapping.staticFields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and, for each field, overlays the saved</w:t>
      </w:r>
    </w:p>
    <w:p w14:paraId="712EEA05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value from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remoteDocument.fieldValues[field.id]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if present. This produces the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fields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array. (If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staticFields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is missing, it errors out — the mapping is required.)</w:t>
      </w:r>
    </w:p>
    <w:p w14:paraId="0D105AC2">
      <w:pPr>
        <w:pStyle w:val="ListNumber"/>
        <w:ind w:left="360" w:hanging="360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Renders via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PDFViewer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.</w:t>
      </w:r>
    </w:p>
    <w:p w14:paraId="5188CAE7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1"/>
          <w:szCs w:val="22"/>
        </w:rPr>
        <w:t>Rendering — PDF + draggable overlays</w:t>
      </w:r>
    </w:p>
    <w:p w14:paraId="679AC7B4">
      <w:pPr>
        <w:spacing w:after="200" w:line="276" w:lineRule="auto"/>
      </w:pPr>
      <w:hyperlink r:id="rId11">
        <w:r>
          <w:rPr>
            <w:rFonts w:ascii="Calibri" w:hAnsi="Calibri" w:eastAsia="ＭＳ 明朝" w:cs="Calibri" w:eastAsiaTheme="minorEastAsia" w:csTheme="minorBidi"/>
            <w:color w:val="0563C1"/>
            <w:sz w:val="21"/>
            <w:szCs w:val="22"/>
            <w:u w:val="single"/>
          </w:rPr>
          <w:t>PDFViewer.jsx</w:t>
        </w:r>
      </w:hyperlink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renders the current page with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react-pdf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's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&lt;Document&gt;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/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&lt;Page&gt;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(text and annotation layers disabled — the PDF is treated as a flat image), then absolutely-positions each field for the current page as an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Rnd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(react-rnd) box at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field.x * scale, field.y * scale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. Inside each box it renders the right input by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field.type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:</w:t>
      </w:r>
    </w:p>
    <w:p w14:paraId="5EE92C49">
      <w:pPr>
        <w:pStyle w:val="ListBullet"/>
        <w:ind w:left="360" w:hanging="360"/>
      </w:pPr>
      <w:r>
        <w:rPr>
          <w:rFonts w:ascii="Consolas" w:hAnsi="Consolas" w:eastAsia="ＭＳ 明朝" w:cs="Consolas" w:eastAsiaTheme="minorEastAsia" w:csTheme="minorBidi"/>
          <w:sz w:val="19"/>
          <w:szCs w:val="22"/>
        </w:rPr>
        <w:t>TextField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→ text input</w:t>
      </w:r>
    </w:p>
    <w:p w14:paraId="1227BECB">
      <w:pPr>
        <w:pStyle w:val="ListBullet"/>
        <w:ind w:left="360" w:hanging="360"/>
      </w:pPr>
      <w:r>
        <w:rPr>
          <w:rFonts w:ascii="Consolas" w:hAnsi="Consolas" w:eastAsia="ＭＳ 明朝" w:cs="Consolas" w:eastAsiaTheme="minorEastAsia" w:csTheme="minorBidi"/>
          <w:sz w:val="19"/>
          <w:szCs w:val="22"/>
        </w:rPr>
        <w:t>TextArea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→ textarea</w:t>
      </w:r>
    </w:p>
    <w:p w14:paraId="78CAE36B">
      <w:pPr>
        <w:pStyle w:val="ListBullet"/>
        <w:ind w:left="360" w:hanging="360"/>
      </w:pPr>
      <w:r>
        <w:rPr>
          <w:rFonts w:ascii="Consolas" w:hAnsi="Consolas" w:eastAsia="ＭＳ 明朝" w:cs="Consolas" w:eastAsiaTheme="minorEastAsia" w:csTheme="minorBidi"/>
          <w:sz w:val="19"/>
          <w:szCs w:val="22"/>
        </w:rPr>
        <w:t>Number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→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react-currency-format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(thousands separators)</w:t>
      </w:r>
    </w:p>
    <w:p w14:paraId="39D43F95">
      <w:pPr>
        <w:pStyle w:val="ListBullet"/>
        <w:ind w:left="360" w:hanging="360"/>
      </w:pPr>
      <w:r>
        <w:rPr>
          <w:rFonts w:ascii="Consolas" w:hAnsi="Consolas" w:eastAsia="ＭＳ 明朝" w:cs="Consolas" w:eastAsiaTheme="minorEastAsia" w:csTheme="minorBidi"/>
          <w:sz w:val="19"/>
          <w:szCs w:val="22"/>
        </w:rPr>
        <w:t>Date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→ date input (reformats through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formatDate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)</w:t>
      </w:r>
    </w:p>
    <w:p w14:paraId="3E78DCF5">
      <w:pPr>
        <w:pStyle w:val="ListBullet"/>
        <w:ind w:left="360" w:hanging="360"/>
      </w:pPr>
      <w:r>
        <w:rPr>
          <w:rFonts w:ascii="Consolas" w:hAnsi="Consolas" w:eastAsia="ＭＳ 明朝" w:cs="Consolas" w:eastAsiaTheme="minorEastAsia" w:csTheme="minorBidi"/>
          <w:sz w:val="19"/>
          <w:szCs w:val="22"/>
        </w:rPr>
        <w:t>Table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→ an editable/ sortable table</w:t>
      </w:r>
    </w:p>
    <w:p w14:paraId="4A29666A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>default → a checkbox (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value === 'checked'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)</w:t>
      </w:r>
    </w:p>
    <w:p w14:paraId="2F9CB047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Dragging/resizing is gated behind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isEditable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(currently the editor runs read-only for positioning — the fields are placed from the server mapping, not moved by the user).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ModernToolbar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handles page navigation and zoom (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scale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);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CalculationManager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in the sidebar handles computed fields.</w:t>
      </w:r>
    </w:p>
    <w:p w14:paraId="2B655F32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1"/>
          <w:szCs w:val="22"/>
        </w:rPr>
        <w:t>Saving</w:t>
      </w:r>
    </w:p>
    <w:p w14:paraId="2E7E1C65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Two distinct save paths, both through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formsService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with optimistic-concurrency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revision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numbers:</w:t>
      </w:r>
    </w:p>
    <w:p w14:paraId="39D91754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Save Document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(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handleSave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) → serializes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fields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into a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{ id: value }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map and</w:t>
      </w:r>
    </w:p>
    <w:p w14:paraId="7356A8CF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PATCHes via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formsService.saveDocument(matter, docId, revision, fieldValues, "IN_PROGRESS")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. A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409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means someone else changed it — reload before saving. On success it bumps the local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revision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.</w:t>
      </w:r>
    </w:p>
    <w:p w14:paraId="0B586F24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Download Document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(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savePdf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) → this is the real export. It re-loads the template</w:t>
      </w:r>
    </w:p>
    <w:p w14:paraId="1A673603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PDF with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pdf-lib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, and for every field </w:t>
      </w: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creates a matching AcroForm field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(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createTextField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/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createCheckBox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) at the mapped coordinates (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y = pageHeight - y - height/scale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), sets its value, styles it (8pt Helvetica / ZaDb for checks), and marks it read-only. The filled PDF bytes are then:</w:t>
      </w:r>
    </w:p>
    <w:p w14:paraId="446CD274">
      <w:pPr>
        <w:pStyle w:val="ListNumber2"/>
        <w:ind w:left="720" w:hanging="360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uploaded via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formsService.saveGeneratedPdf(...)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(versioned by</w:t>
      </w:r>
    </w:p>
    <w:p w14:paraId="60CD4D63">
      <w:pPr>
        <w:spacing w:after="200" w:line="276" w:lineRule="auto"/>
      </w:pPr>
      <w:r>
        <w:rPr>
          <w:rFonts w:ascii="Consolas" w:hAnsi="Consolas" w:eastAsia="ＭＳ 明朝" w:cs="Consolas" w:eastAsiaTheme="minorEastAsia" w:csTheme="minorBidi"/>
          <w:sz w:val="19"/>
          <w:szCs w:val="22"/>
        </w:rPr>
        <w:t>generated_pdf_revision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, with the generation time recorded), and</w:t>
      </w:r>
    </w:p>
    <w:p w14:paraId="1EBE1EFD">
      <w:pPr>
        <w:pStyle w:val="ListNumber2"/>
        <w:ind w:left="720" w:hanging="360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downloaded to the user as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&lt;file_name&gt;-completed.pdf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, and</w:t>
      </w:r>
    </w:p>
    <w:p w14:paraId="0CFE689A">
      <w:pPr>
        <w:pStyle w:val="ListNumber2"/>
        <w:ind w:left="720" w:hanging="360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>previewed in a modal iframe.</w:t>
      </w:r>
    </w:p>
    <w:p w14:paraId="56AB574E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1"/>
          <w:szCs w:val="22"/>
        </w:rPr>
        <w:t>The sidebar</w:t>
      </w:r>
    </w:p>
    <w:p w14:paraId="56C5CD08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Shows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CalculationManager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plus a button per sibling form. Selecting a different form navigates to its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/matters/:matterNumber/forms/:documentId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URL (which re-runs the whole load), rather than mutating state in place — this fixed a bug where re-selecting the same object blanked the viewer without re-triggering the load effect.</w:t>
      </w:r>
    </w:p>
    <w:p w14:paraId="0BFD4407">
      <w:pPr>
        <w:spacing w:after="200" w:line="276" w:lineRule="auto"/>
      </w:pPr>
    </w:p>
    <w:p w14:paraId="319AA4F6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Old vs new — the prefill split (read this)</w:t>
      </w:r>
    </w:p>
    <w:p w14:paraId="121ADC28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>This is the thing most likely to confuse someone new to the file:</w:t>
      </w:r>
    </w:p>
    <w:p w14:paraId="3EE95D8B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Old platform (`cloudact-frontend-main`):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the browser held the field mappings and a</w:t>
      </w:r>
    </w:p>
    <w:p w14:paraId="0BCD8B3D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giant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bindFieldsToData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engine that walked the matter's assets/debts/children/etc. and computed each PDF field's value client-side. That code is still visible in </w:t>
      </w:r>
      <w:hyperlink r:id="rId9">
        <w:r>
          <w:rPr>
            <w:rFonts w:ascii="Calibri" w:hAnsi="Calibri" w:eastAsia="ＭＳ 明朝" w:cs="Calibri" w:eastAsiaTheme="minorEastAsia" w:csTheme="minorBidi"/>
            <w:color w:val="0563C1"/>
            <w:sz w:val="21"/>
            <w:szCs w:val="22"/>
            <w:u w:val="single"/>
          </w:rPr>
          <w:t>FillPdf.jsx</w:t>
        </w:r>
      </w:hyperlink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inside a big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/* … */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block (roughly lines 240–1663), plus a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calculateAge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/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generateDetails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/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formatNumberWithCommas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helper set. </w:t>
      </w: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It is not executed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and must not be called; it remains only pending a dedicated source-size cleanup.</w:t>
      </w:r>
    </w:p>
    <w:p w14:paraId="61BCFDE4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Now: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the </w:t>
      </w: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Forms API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owns both the field mapping (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mapping.staticFields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) and the</w:t>
      </w:r>
    </w:p>
    <w:p w14:paraId="3A5C49C5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>prefilled values (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fieldValues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). The editor just overlays values onto the mapping and lets the user tweak/save. The forms are </w:t>
      </w: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image-based PDFs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with an overlay coordinate convention; the mapping is produced by a server-side extract-from-AcroForm / vector pipeline. (See the project's forms-migration and prefill-plan notes for the full mapping pipeline and per-form status — all 45 forms have been migrated.)</w:t>
      </w:r>
    </w:p>
    <w:p w14:paraId="2DCECB69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If you're adding a form or fixing a field position, the fix almost always belongs in the </w:t>
      </w: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template/mapping on the backend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, not in this React code.</w:t>
      </w:r>
    </w:p>
    <w:p w14:paraId="1D632163">
      <w:pPr>
        <w:spacing w:after="200" w:line="276" w:lineRule="auto"/>
      </w:pPr>
    </w:p>
    <w:p w14:paraId="31264076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The API surface</w:t>
      </w:r>
    </w:p>
    <w:p w14:paraId="44F136C3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Everything routes through </w:t>
      </w:r>
      <w:hyperlink r:id="rId12">
        <w:r>
          <w:rPr>
            <w:rFonts w:ascii="Calibri" w:hAnsi="Calibri" w:eastAsia="ＭＳ 明朝" w:cs="Calibri" w:eastAsiaTheme="minorEastAsia" w:csTheme="minorBidi"/>
            <w:color w:val="0563C1"/>
            <w:sz w:val="21"/>
            <w:szCs w:val="22"/>
            <w:u w:val="single"/>
          </w:rPr>
          <w:t>formsService.js</w:t>
        </w:r>
      </w:hyperlink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(a thin wrapper over the shared axios instance, which carries auth). Key calls:</w:t>
      </w:r>
    </w:p>
    <w:tbl>
      <w:tblPr>
        <w:tblStyle w:val="LightGrid-Accent1"/>
        <w:tblW w:w="0" w:type="auto"/>
        <w:tbl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320"/>
        <w:gridCol w:w="4320"/>
      </w:tblGrid>
      <w:tr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  <w:insideH w:val="nil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D785B4">
            <w:pPr>
              <w:spacing w:after="200" w:line="276" w:lineRule="auto"/>
            </w:pPr>
            <w:r>
              <w:rPr>
                <w:rFonts w:ascii="Calibri" w:hAnsi="Calibri" w:eastAsia="ＭＳ ゴシック" w:cs="Calibri" w:asciiTheme="majorHAnsi" w:hAnsiTheme="majorHAnsi" w:eastAsiaTheme="majorEastAsia" w:csTheme="majorBidi"/>
                <w:b/>
                <w:bCs/>
                <w:sz w:val="22"/>
                <w:szCs w:val="22"/>
              </w:rPr>
              <w:t>Method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  <w:insideH w:val="nil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CDFA85">
            <w:pPr>
              <w:spacing w:after="200" w:line="276" w:lineRule="auto"/>
            </w:pPr>
            <w:r>
              <w:rPr>
                <w:rFonts w:ascii="Calibri" w:hAnsi="Calibri" w:eastAsia="ＭＳ ゴシック" w:cs="Calibri" w:asciiTheme="majorHAnsi" w:hAnsiTheme="majorHAnsi" w:eastAsiaTheme="majorEastAsia" w:csTheme="majorBidi"/>
                <w:b/>
                <w:bCs/>
                <w:sz w:val="22"/>
                <w:szCs w:val="22"/>
              </w:rPr>
              <w:t>Endpoint</w:t>
            </w:r>
          </w:p>
        </w:tc>
      </w:tr>
      <w:tr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shd w:val="clear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9BCBA">
            <w:pPr>
              <w:spacing w:after="200" w:line="276" w:lineRule="auto"/>
            </w:pPr>
            <w:r>
              <w:rPr>
                <w:rFonts w:ascii="Consolas" w:hAnsi="Consolas" w:eastAsia="ＭＳ ゴシック" w:cs="Consolas" w:eastAsiaTheme="majorEastAsia" w:csTheme="majorBidi"/>
                <w:b/>
                <w:bCs/>
                <w:sz w:val="19"/>
                <w:szCs w:val="22"/>
              </w:rPr>
              <w:t>listMatters()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shd w:val="clear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35D90E">
            <w:pPr>
              <w:spacing w:after="200" w:line="276" w:lineRule="auto"/>
            </w:pPr>
            <w:r>
              <w:rPr>
                <w:rFonts w:ascii="Consolas" w:hAnsi="Consolas" w:eastAsia="ＭＳ 明朝" w:cs="Consolas" w:eastAsiaTheme="minorEastAsia" w:csTheme="minorBidi"/>
                <w:sz w:val="19"/>
                <w:szCs w:val="22"/>
              </w:rPr>
              <w:t>GET /matters</w:t>
            </w:r>
          </w:p>
        </w:tc>
      </w:tr>
      <w:tr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852AED">
            <w:pPr>
              <w:spacing w:after="200" w:line="276" w:lineRule="auto"/>
            </w:pPr>
            <w:r>
              <w:rPr>
                <w:rFonts w:ascii="Consolas" w:hAnsi="Consolas" w:eastAsia="ＭＳ ゴシック" w:cs="Consolas" w:eastAsiaTheme="majorEastAsia" w:csTheme="majorBidi"/>
                <w:b/>
                <w:bCs/>
                <w:sz w:val="19"/>
                <w:szCs w:val="22"/>
              </w:rPr>
              <w:t>getMatterContext(m)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E40D12">
            <w:pPr>
              <w:spacing w:after="200" w:line="276" w:lineRule="auto"/>
            </w:pPr>
            <w:r>
              <w:rPr>
                <w:rFonts w:ascii="Consolas" w:hAnsi="Consolas" w:eastAsia="ＭＳ 明朝" w:cs="Consolas" w:eastAsiaTheme="minorEastAsia" w:csTheme="minorBidi"/>
                <w:sz w:val="19"/>
                <w:szCs w:val="22"/>
              </w:rPr>
              <w:t>GET /matters/:m</w:t>
            </w:r>
          </w:p>
        </w:tc>
      </w:tr>
      <w:tr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shd w:val="clear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5BBDB7">
            <w:pPr>
              <w:spacing w:after="200" w:line="276" w:lineRule="auto"/>
            </w:pPr>
            <w:r>
              <w:rPr>
                <w:rFonts w:ascii="Consolas" w:hAnsi="Consolas" w:eastAsia="ＭＳ ゴシック" w:cs="Consolas" w:eastAsiaTheme="majorEastAsia" w:csTheme="majorBidi"/>
                <w:b/>
                <w:bCs/>
                <w:sz w:val="19"/>
                <w:szCs w:val="22"/>
              </w:rPr>
              <w:t>listTemplates(prov)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shd w:val="clear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78617">
            <w:pPr>
              <w:spacing w:after="200" w:line="276" w:lineRule="auto"/>
            </w:pPr>
            <w:r>
              <w:rPr>
                <w:rFonts w:ascii="Consolas" w:hAnsi="Consolas" w:eastAsia="ＭＳ 明朝" w:cs="Consolas" w:eastAsiaTheme="minorEastAsia" w:csTheme="minorBidi"/>
                <w:sz w:val="19"/>
                <w:szCs w:val="22"/>
              </w:rPr>
              <w:t>GET /forms?province&amp;production_ready&amp;mapping_ready</w:t>
            </w:r>
          </w:p>
        </w:tc>
      </w:tr>
      <w:tr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F12103">
            <w:pPr>
              <w:spacing w:after="200" w:line="276" w:lineRule="auto"/>
            </w:pPr>
            <w:r>
              <w:rPr>
                <w:rFonts w:ascii="Consolas" w:hAnsi="Consolas" w:eastAsia="ＭＳ ゴシック" w:cs="Consolas" w:eastAsiaTheme="majorEastAsia" w:csTheme="majorBidi"/>
                <w:b/>
                <w:bCs/>
                <w:sz w:val="19"/>
                <w:szCs w:val="22"/>
              </w:rPr>
              <w:t>createDocuments(m, folderId, templateIds)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AF92F">
            <w:pPr>
              <w:spacing w:after="200" w:line="276" w:lineRule="auto"/>
            </w:pPr>
            <w:r>
              <w:rPr>
                <w:rFonts w:ascii="Consolas" w:hAnsi="Consolas" w:eastAsia="ＭＳ 明朝" w:cs="Consolas" w:eastAsiaTheme="minorEastAsia" w:csTheme="minorBidi"/>
                <w:sz w:val="19"/>
                <w:szCs w:val="22"/>
              </w:rPr>
              <w:t>POST /matters/:m/forms</w:t>
            </w:r>
          </w:p>
        </w:tc>
      </w:tr>
      <w:tr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shd w:val="clear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77E9D6">
            <w:pPr>
              <w:spacing w:after="200" w:line="276" w:lineRule="auto"/>
            </w:pPr>
            <w:r>
              <w:rPr>
                <w:rFonts w:ascii="Consolas" w:hAnsi="Consolas" w:eastAsia="ＭＳ ゴシック" w:cs="Consolas" w:eastAsiaTheme="majorEastAsia" w:csTheme="majorBidi"/>
                <w:b/>
                <w:bCs/>
                <w:sz w:val="19"/>
                <w:szCs w:val="22"/>
              </w:rPr>
              <w:t>getDocument(m, id)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shd w:val="clear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139D4A">
            <w:pPr>
              <w:spacing w:after="200" w:line="276" w:lineRule="auto"/>
            </w:pPr>
            <w:r>
              <w:rPr>
                <w:rFonts w:ascii="Consolas" w:hAnsi="Consolas" w:eastAsia="ＭＳ 明朝" w:cs="Consolas" w:eastAsiaTheme="minorEastAsia" w:csTheme="minorBidi"/>
                <w:sz w:val="19"/>
                <w:szCs w:val="22"/>
              </w:rPr>
              <w:t>GET /matters/:m/forms/:id</w:t>
            </w:r>
          </w:p>
        </w:tc>
      </w:tr>
      <w:tr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88C2D">
            <w:pPr>
              <w:spacing w:after="200" w:line="276" w:lineRule="auto"/>
            </w:pPr>
            <w:r>
              <w:rPr>
                <w:rFonts w:ascii="Consolas" w:hAnsi="Consolas" w:eastAsia="ＭＳ ゴシック" w:cs="Consolas" w:eastAsiaTheme="majorEastAsia" w:csTheme="majorBidi"/>
                <w:b/>
                <w:bCs/>
                <w:sz w:val="19"/>
                <w:szCs w:val="22"/>
              </w:rPr>
              <w:t>saveDocument(m, id, revision, fieldValues, status)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4B1934">
            <w:pPr>
              <w:spacing w:after="200" w:line="276" w:lineRule="auto"/>
            </w:pPr>
            <w:r>
              <w:rPr>
                <w:rFonts w:ascii="Consolas" w:hAnsi="Consolas" w:eastAsia="ＭＳ 明朝" w:cs="Consolas" w:eastAsiaTheme="minorEastAsia" w:csTheme="minorBidi"/>
                <w:sz w:val="19"/>
                <w:szCs w:val="22"/>
              </w:rPr>
              <w:t>PATCH /matters/:m/forms/:id</w:t>
            </w:r>
          </w:p>
        </w:tc>
      </w:tr>
      <w:tr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shd w:val="clear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8973CD">
            <w:pPr>
              <w:spacing w:after="200" w:line="276" w:lineRule="auto"/>
            </w:pPr>
            <w:r>
              <w:rPr>
                <w:rFonts w:ascii="Consolas" w:hAnsi="Consolas" w:eastAsia="ＭＳ ゴシック" w:cs="Consolas" w:eastAsiaTheme="majorEastAsia" w:csTheme="majorBidi"/>
                <w:b/>
                <w:bCs/>
                <w:sz w:val="19"/>
                <w:szCs w:val="22"/>
              </w:rPr>
              <w:t>saveGeneratedPdf(m, id, revision, blob, ms)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shd w:val="clear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897289">
            <w:pPr>
              <w:spacing w:after="200" w:line="276" w:lineRule="auto"/>
            </w:pPr>
            <w:r>
              <w:rPr>
                <w:rFonts w:ascii="Consolas" w:hAnsi="Consolas" w:eastAsia="ＭＳ 明朝" w:cs="Consolas" w:eastAsiaTheme="minorEastAsia" w:csTheme="minorBidi"/>
                <w:sz w:val="19"/>
                <w:szCs w:val="22"/>
              </w:rPr>
              <w:t>PUT /matters/:m/forms/:id/pdf</w:t>
            </w:r>
          </w:p>
        </w:tc>
      </w:tr>
      <w:tr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949EAA">
            <w:pPr>
              <w:spacing w:after="200" w:line="276" w:lineRule="auto"/>
            </w:pPr>
            <w:r>
              <w:rPr>
                <w:rFonts w:ascii="Consolas" w:hAnsi="Consolas" w:eastAsia="ＭＳ ゴシック" w:cs="Consolas" w:eastAsiaTheme="majorEastAsia" w:csTheme="majorBidi"/>
                <w:b/>
                <w:bCs/>
                <w:sz w:val="19"/>
                <w:szCs w:val="22"/>
              </w:rPr>
              <w:t>listPdfRevisions(m, id)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45218F">
            <w:pPr>
              <w:spacing w:after="200" w:line="276" w:lineRule="auto"/>
            </w:pPr>
            <w:r>
              <w:rPr>
                <w:rFonts w:ascii="Consolas" w:hAnsi="Consolas" w:eastAsia="ＭＳ 明朝" w:cs="Consolas" w:eastAsiaTheme="minorEastAsia" w:csTheme="minorBidi"/>
                <w:sz w:val="19"/>
                <w:szCs w:val="22"/>
              </w:rPr>
              <w:t>GET /matters/:m/forms/:id/pdf/revisions</w:t>
            </w:r>
          </w:p>
        </w:tc>
      </w:tr>
      <w:tr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shd w:val="clear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A14259">
            <w:pPr>
              <w:spacing w:after="200" w:line="276" w:lineRule="auto"/>
            </w:pPr>
            <w:r>
              <w:rPr>
                <w:rFonts w:ascii="Consolas" w:hAnsi="Consolas" w:eastAsia="ＭＳ ゴシック" w:cs="Consolas" w:eastAsiaTheme="majorEastAsia" w:csTheme="majorBidi"/>
                <w:b/>
                <w:bCs/>
                <w:sz w:val="19"/>
                <w:szCs w:val="22"/>
              </w:rPr>
              <w:t>listDocuments(m, folderId?)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shd w:val="clear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DE0CA2">
            <w:pPr>
              <w:spacing w:after="200" w:line="276" w:lineRule="auto"/>
            </w:pPr>
            <w:r>
              <w:rPr>
                <w:rFonts w:ascii="Consolas" w:hAnsi="Consolas" w:eastAsia="ＭＳ 明朝" w:cs="Consolas" w:eastAsiaTheme="minorEastAsia" w:csTheme="minorBidi"/>
                <w:sz w:val="19"/>
                <w:szCs w:val="22"/>
              </w:rPr>
              <w:t>GET /matters/:m/forms</w:t>
            </w:r>
          </w:p>
        </w:tc>
      </w:tr>
      <w:tr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AAD9B3">
            <w:pPr>
              <w:spacing w:after="200" w:line="276" w:lineRule="auto"/>
            </w:pPr>
            <w:r>
              <w:rPr>
                <w:rFonts w:ascii="Consolas" w:hAnsi="Consolas" w:eastAsia="ＭＳ ゴシック" w:cs="Consolas" w:eastAsiaTheme="majorEastAsia" w:csTheme="majorBidi"/>
                <w:b/>
                <w:bCs/>
                <w:sz w:val="19"/>
                <w:szCs w:val="22"/>
              </w:rPr>
              <w:t>createFolder(m, title, type)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A3030">
            <w:pPr>
              <w:spacing w:after="200" w:line="276" w:lineRule="auto"/>
            </w:pPr>
            <w:r>
              <w:rPr>
                <w:rFonts w:ascii="Consolas" w:hAnsi="Consolas" w:eastAsia="ＭＳ 明朝" w:cs="Consolas" w:eastAsiaTheme="minorEastAsia" w:csTheme="minorBidi"/>
                <w:sz w:val="19"/>
                <w:szCs w:val="22"/>
              </w:rPr>
              <w:t>POST /matters/:m/folders</w:t>
            </w:r>
          </w:p>
        </w:tc>
      </w:tr>
      <w:tr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shd w:val="clear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C6BBB7">
            <w:pPr>
              <w:spacing w:after="200" w:line="276" w:lineRule="auto"/>
            </w:pPr>
            <w:r>
              <w:rPr>
                <w:rFonts w:ascii="Consolas" w:hAnsi="Consolas" w:eastAsia="ＭＳ ゴシック" w:cs="Consolas" w:eastAsiaTheme="majorEastAsia" w:csTheme="majorBidi"/>
                <w:b/>
                <w:bCs/>
                <w:sz w:val="19"/>
                <w:szCs w:val="22"/>
              </w:rPr>
              <w:t>listFolders(m)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shd w:val="clear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66613F">
            <w:pPr>
              <w:spacing w:after="200" w:line="276" w:lineRule="auto"/>
            </w:pPr>
            <w:r>
              <w:rPr>
                <w:rFonts w:ascii="Consolas" w:hAnsi="Consolas" w:eastAsia="ＭＳ 明朝" w:cs="Consolas" w:eastAsiaTheme="minorEastAsia" w:csTheme="minorBidi"/>
                <w:sz w:val="19"/>
                <w:szCs w:val="22"/>
              </w:rPr>
              <w:t>GET /matters/:m/folders</w:t>
            </w:r>
          </w:p>
        </w:tc>
      </w:tr>
      <w:tr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F48AE1">
            <w:pPr>
              <w:spacing w:after="200" w:line="276" w:lineRule="auto"/>
            </w:pPr>
            <w:r>
              <w:rPr>
                <w:rFonts w:ascii="Consolas" w:hAnsi="Consolas" w:eastAsia="ＭＳ ゴシック" w:cs="Consolas" w:eastAsiaTheme="majorEastAsia" w:csTheme="majorBidi"/>
                <w:b/>
                <w:bCs/>
                <w:sz w:val="19"/>
                <w:szCs w:val="22"/>
              </w:rPr>
              <w:t>renameDocument</w:t>
            </w:r>
            <w:r>
              <w:rPr>
                <w:rFonts w:ascii="Calibri" w:hAnsi="Calibri" w:eastAsia="ＭＳ ゴシック" w:cs="Calibri" w:asciiTheme="majorHAnsi" w:hAnsiTheme="majorHAnsi" w:eastAsiaTheme="majorEastAsia" w:csTheme="majorBidi"/>
                <w:b/>
                <w:bCs/>
                <w:sz w:val="22"/>
                <w:szCs w:val="22"/>
              </w:rPr>
              <w:t xml:space="preserve"> / </w:t>
            </w:r>
            <w:r>
              <w:rPr>
                <w:rFonts w:ascii="Consolas" w:hAnsi="Consolas" w:eastAsia="ＭＳ ゴシック" w:cs="Consolas" w:eastAsiaTheme="majorEastAsia" w:csTheme="majorBidi"/>
                <w:b/>
                <w:bCs/>
                <w:sz w:val="19"/>
                <w:szCs w:val="22"/>
              </w:rPr>
              <w:t>deleteDocument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  <w:insideV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31F20E">
            <w:pPr>
              <w:spacing w:after="200" w:line="276" w:lineRule="auto"/>
            </w:pPr>
            <w:r>
              <w:rPr>
                <w:rFonts w:ascii="Consolas" w:hAnsi="Consolas" w:eastAsia="ＭＳ 明朝" w:cs="Consolas" w:eastAsiaTheme="minorEastAsia" w:csTheme="minorBidi"/>
                <w:sz w:val="19"/>
                <w:szCs w:val="22"/>
              </w:rPr>
              <w:t>PATCH</w:t>
            </w:r>
            <w:r>
              <w:rPr>
                <w:rFonts w:ascii="Calibri" w:hAnsi="Calibri" w:eastAsia="ＭＳ 明朝" w:cs="Calibri" w:eastAsiaTheme="minorEastAsia" w:csTheme="minorBidi"/>
                <w:sz w:val="21"/>
                <w:szCs w:val="22"/>
              </w:rPr>
              <w:t>/</w:t>
            </w:r>
            <w:r>
              <w:rPr>
                <w:rFonts w:ascii="Consolas" w:hAnsi="Consolas" w:eastAsia="ＭＳ 明朝" w:cs="Consolas" w:eastAsiaTheme="minorEastAsia" w:csTheme="minorBidi"/>
                <w:sz w:val="19"/>
                <w:szCs w:val="22"/>
              </w:rPr>
              <w:t>DELETE /matters/:m/forms/:id[/name]</w:t>
            </w:r>
          </w:p>
        </w:tc>
      </w:tr>
    </w:tbl>
    <w:p w14:paraId="74C7C3B2">
      <w:pPr>
        <w:spacing w:after="200" w:line="276" w:lineRule="auto"/>
      </w:pPr>
    </w:p>
    <w:p w14:paraId="0FB26EF5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These are served by the auth-server (see </w:t>
      </w:r>
      <w:hyperlink r:id="rId18">
        <w:r>
          <w:rPr>
            <w:rFonts w:ascii="Calibri" w:hAnsi="Calibri" w:eastAsia="ＭＳ 明朝" w:cs="Calibri" w:eastAsiaTheme="minorEastAsia" w:csTheme="minorBidi"/>
            <w:color w:val="0563C1"/>
            <w:sz w:val="21"/>
            <w:szCs w:val="22"/>
            <w:u w:val="single"/>
          </w:rPr>
          <w:t>../auth-server/</w:t>
        </w:r>
      </w:hyperlink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), which also bootstraps the form templates. The template PDF blobs are fetched separately at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/form-templates/:docId/versions/:version/pdf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.</w:t>
      </w:r>
    </w:p>
    <w:p w14:paraId="71B83F50">
      <w:pPr>
        <w:spacing w:after="200" w:line="276" w:lineRule="auto"/>
      </w:pPr>
    </w:p>
    <w:p w14:paraId="54D97321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Notes</w:t>
      </w:r>
    </w:p>
    <w:p w14:paraId="78E13E33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The big commented block in FillPdf is dead code.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Don't wire it back in; the</w:t>
      </w:r>
    </w:p>
    <w:p w14:paraId="4B1F5C90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>mapping/values come from the API.</w:t>
      </w:r>
    </w:p>
    <w:p w14:paraId="4FA2DEF6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Two revision counters.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revision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guards the field-value document; a separate</w:t>
      </w:r>
    </w:p>
    <w:p w14:paraId="0523AFFD">
      <w:pPr>
        <w:spacing w:after="200" w:line="276" w:lineRule="auto"/>
      </w:pPr>
      <w:r>
        <w:rPr>
          <w:rFonts w:ascii="Consolas" w:hAnsi="Consolas" w:eastAsia="ＭＳ 明朝" w:cs="Consolas" w:eastAsiaTheme="minorEastAsia" w:csTheme="minorBidi"/>
          <w:sz w:val="19"/>
          <w:szCs w:val="22"/>
        </w:rPr>
        <w:t>generated_pdf_revision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guards the exported PDF. Both can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409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.</w:t>
      </w:r>
    </w:p>
    <w:p w14:paraId="4FC0C0B3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Coordinates are overlay coordinates.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The export flips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y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with</w:t>
      </w:r>
    </w:p>
    <w:p w14:paraId="6C5F79BA">
      <w:pPr>
        <w:spacing w:after="200" w:line="276" w:lineRule="auto"/>
      </w:pPr>
      <w:r>
        <w:rPr>
          <w:rFonts w:ascii="Consolas" w:hAnsi="Consolas" w:eastAsia="ＭＳ 明朝" w:cs="Consolas" w:eastAsiaTheme="minorEastAsia" w:csTheme="minorBidi"/>
          <w:sz w:val="19"/>
          <w:szCs w:val="22"/>
        </w:rPr>
        <w:t>pageHeight - y - height/scale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; get this wrong and fields land in the wrong place.</w:t>
      </w:r>
    </w:p>
    <w:p w14:paraId="395F8F35">
      <w:pPr>
        <w:spacing w:after="200" w:line="276" w:lineRule="auto"/>
      </w:pPr>
      <w:r>
        <w:t xml:space="preserve">I suggest using claude code if migrating a new form, in order to add the fields quickly. </w:t>
      </w:r>
    </w:p>
    <w:p w14:paraId="4DA54161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A form must have a folder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before it can be created, and only</w:t>
      </w:r>
    </w:p>
    <w:p w14:paraId="6616E52C">
      <w:pPr>
        <w:spacing w:after="200" w:line="276" w:lineRule="auto"/>
      </w:pPr>
      <w:r>
        <w:rPr>
          <w:rFonts w:ascii="Consolas" w:hAnsi="Consolas" w:eastAsia="ＭＳ 明朝" w:cs="Consolas" w:eastAsiaTheme="minorEastAsia" w:csTheme="minorBidi"/>
          <w:sz w:val="19"/>
          <w:szCs w:val="22"/>
        </w:rPr>
        <w:t>production_ready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+ </w:t>
      </w:r>
      <w:r>
        <w:rPr>
          <w:rFonts w:ascii="Consolas" w:hAnsi="Consolas" w:eastAsia="ＭＳ 明朝" w:cs="Consolas" w:eastAsiaTheme="minorEastAsia" w:csTheme="minorBidi"/>
          <w:sz w:val="19"/>
          <w:szCs w:val="22"/>
        </w:rPr>
        <w:t>mapping_ready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 xml:space="preserve"> forms are offered.</w:t>
      </w:r>
    </w:p>
    <w:p w14:paraId="244A5027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Switching forms is a navigation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, not a state swap — it re-loads via the URL.</w:t>
      </w:r>
    </w:p>
    <w:p w14:paraId="6662984F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b/>
          <w:bCs/>
          <w:sz w:val="21"/>
          <w:szCs w:val="22"/>
        </w:rPr>
        <w:t>Province drives the catalog</w:t>
      </w:r>
      <w:r>
        <w:rPr>
          <w:rFonts w:ascii="Calibri" w:hAnsi="Calibri" w:eastAsia="ＭＳ 明朝" w:cs="Calibri" w:eastAsiaTheme="minorEastAsia" w:csTheme="minorBidi"/>
          <w:sz w:val="21"/>
          <w:szCs w:val="22"/>
        </w:rPr>
        <w:t>, and province comes from the matter context, so a</w:t>
      </w:r>
    </w:p>
    <w:p w14:paraId="44AFC708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1"/>
          <w:szCs w:val="22"/>
        </w:rPr>
        <w:t>matter with no province shows no forms. &lt;/content&gt;</w:t>
      </w:r>
    </w:p>
    <w:sectPr>
      <w:pgSz w:w="12240" w:h="15840"/>
      <w:pgMar w:top="1440" w:right="1800" w:bottom="1440" w:left="1800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cloudact-ui/src/pages/formPages/FillPdf.jsx" TargetMode="External"/><Relationship Id="rId10" Type="http://schemas.openxmlformats.org/officeDocument/2006/relationships/hyperlink" Target="cloudact-ui/src/pages/formPages/CreateNewFormPage.jsx" TargetMode="External"/><Relationship Id="rId11" Type="http://schemas.openxmlformats.org/officeDocument/2006/relationships/hyperlink" Target="cloudact-ui/src/pages/formPages/PDFViewer.jsx" TargetMode="External"/><Relationship Id="rId12" Type="http://schemas.openxmlformats.org/officeDocument/2006/relationships/hyperlink" Target="cloudact-ui/src/services/formsService.js" TargetMode="External"/><Relationship Id="rId13" Type="http://schemas.openxmlformats.org/officeDocument/2006/relationships/hyperlink" Target="cloudact-ui/src/utils/matterData/MatterFormData.jsx" TargetMode="External"/><Relationship Id="rId14" Type="http://schemas.openxmlformats.org/officeDocument/2006/relationships/hyperlink" Target="cloudact-ui/src/components/FormPages/forms/newComponents/ModernToolbar.jsx" TargetMode="External"/><Relationship Id="rId15" Type="http://schemas.openxmlformats.org/officeDocument/2006/relationships/hyperlink" Target="cloudact-ui/src/components/FormPages/forms/newComponents/CalculationManager.jsx" TargetMode="External"/><Relationship Id="rId16" Type="http://schemas.openxmlformats.org/officeDocument/2006/relationships/hyperlink" Target="cloudact-ui/src/routes/Routes.jsx" TargetMode="External"/><Relationship Id="rId17" Type="http://schemas.openxmlformats.org/officeDocument/2006/relationships/hyperlink" Target="cloudact-ui/src/routes/Routes.types.ts" TargetMode="External"/><Relationship Id="rId18" Type="http://schemas.openxmlformats.org/officeDocument/2006/relationships/hyperlink" Target="../auth-serv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2026-07-28T08:04:03.496Z</dcterms:modified>
  <cp:category/>
</cp:coreProperties>
</file>