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bottom w:color="auto" w:space="7" w:sz="0" w:val="none"/>
        </w:pBdr>
        <w:shd w:fill="ffffff" w:val="clear"/>
        <w:spacing w:after="240" w:before="0" w:line="300" w:lineRule="auto"/>
        <w:jc w:val="center"/>
        <w:rPr>
          <w:color w:val="1f1f1f"/>
          <w:sz w:val="46"/>
          <w:szCs w:val="46"/>
        </w:rPr>
      </w:pPr>
      <w:bookmarkStart w:colFirst="0" w:colLast="0" w:name="_di9pkykhbmh2" w:id="0"/>
      <w:bookmarkEnd w:id="0"/>
      <w:r w:rsidDel="00000000" w:rsidR="00000000" w:rsidRPr="00000000">
        <w:rPr>
          <w:b w:val="1"/>
          <w:bCs w:val="1"/>
          <w:color w:val="1f2328"/>
          <w:sz w:val="48"/>
          <w:szCs w:val="48"/>
          <w:rtl w:val="0"/>
        </w:rPr>
        <w:t xml:space="preserve">AI Science Tutor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rPr>
          <w:color w:val="1f1f1f"/>
          <w:sz w:val="20"/>
          <w:szCs w:val="20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rPr>
          <w:color w:val="1f1f1f"/>
          <w:sz w:val="20"/>
          <w:szCs w:val="20"/>
        </w:rPr>
      </w:pPr>
      <w:r w:rsidDel="00000000" w:rsidR="00000000" w:rsidRPr="00000000">
        <w:rPr>
          <w:color w:val="1f2328"/>
          <w:highlight w:val="white"/>
          <w:rtl w:val="0"/>
        </w:rPr>
        <w:t xml:space="preserve">This implementation demonstrates streaming and non-streaming examples of OpenAIResponsesClient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color w:val="1f2328"/>
          <w:highlight w:val="white"/>
          <w:rtl w:val="0"/>
        </w:rPr>
        <w:t xml:space="preserve">with agent-framework where we are building an AI Science Tutor which explains complex science topics to students using analogies and examples.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rPr>
          <w:color w:val="1f1f1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W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orkflow</w:t>
      </w:r>
    </w:p>
    <w:p w:rsidR="00000000" w:rsidDel="00000000" w:rsidP="00000000" w:rsidRDefault="00000000" w:rsidRPr="00000000" w14:paraId="00000007">
      <w:pPr>
        <w:spacing w:line="360" w:lineRule="auto"/>
        <w:jc w:val="center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</w:rPr>
        <w:drawing>
          <wp:inline distB="114300" distT="114300" distL="114300" distR="114300">
            <wp:extent cx="5943600" cy="1592791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16578" l="0" r="0" t="298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27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hd w:fill="ffffff" w:val="clear"/>
        <w:spacing w:after="240" w:line="360" w:lineRule="auto"/>
        <w:rPr/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Key Features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240" w:line="360" w:lineRule="auto"/>
        <w:ind w:left="720" w:hanging="360"/>
        <w:rPr>
          <w:color w:val="1f2328"/>
          <w:sz w:val="24"/>
          <w:szCs w:val="24"/>
          <w:highlight w:val="white"/>
          <w:u w:val="none"/>
        </w:rPr>
      </w:pPr>
      <w:r w:rsidDel="00000000" w:rsidR="00000000" w:rsidRPr="00000000">
        <w:rPr>
          <w:rtl w:val="0"/>
        </w:rPr>
        <w:t xml:space="preserve">OpenAIResponsesClient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240" w:before="0" w:before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OpenAI API Key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rPr/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Prerequisites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Before starting, make sure you have: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line="360" w:lineRule="auto"/>
        <w:ind w:left="720" w:hanging="360"/>
        <w:rPr>
          <w:color w:val="1f1f1f"/>
        </w:rPr>
      </w:pPr>
      <w:r w:rsidDel="00000000" w:rsidR="00000000" w:rsidRPr="00000000">
        <w:rPr>
          <w:rtl w:val="0"/>
        </w:rPr>
        <w:t xml:space="preserve">OpenAI Credentials in env.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shd w:fill="1f1f1f" w:val="clear"/>
        <w:spacing w:after="0" w:afterAutospacing="0" w:line="325.71428571428567" w:lineRule="auto"/>
        <w:ind w:left="1440" w:hanging="360"/>
      </w:pP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OPENAI_RESPONSES_MODEL_ID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"gpt-4o"</w:t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shd w:fill="1f1f1f" w:val="clear"/>
        <w:spacing w:after="240" w:line="325.71428571428567" w:lineRule="auto"/>
        <w:ind w:left="1440" w:hanging="360"/>
      </w:pP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OPENAI_API_KEY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"Your API Key"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Agent-framework installed.</w:t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spacing w:after="240"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pip install agent-framework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