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color w:val="1f1f1f"/>
          <w:sz w:val="46"/>
          <w:szCs w:val="46"/>
        </w:rPr>
      </w:pPr>
      <w:bookmarkStart w:colFirst="0" w:colLast="0" w:name="_di9pkykhbmh2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AI Science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onsolas" w:cs="Consolas" w:eastAsia="Consolas" w:hAnsi="Consolas"/>
          <w:color w:val="cccccc"/>
          <w:sz w:val="21"/>
          <w:szCs w:val="21"/>
          <w:highlight w:val="white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This implementation demonstrates streaming and non-streaming examples of AzureAIClient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with agent-framework where we are building an AI Science Tutor which explains complex science topics to students using analogies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Sequential orchestration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workflow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159279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578" l="0" r="0" t="298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1f2328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OpenAIResponsesClient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OpenAI Credentials in env.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1f1f1f" w:val="clear"/>
        <w:spacing w:after="0" w:afterAutospacing="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OPENAI_RESPONSES_MODEL_ID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"gpt-4o"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1f1f1f" w:val="clear"/>
        <w:spacing w:after="24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OPENAI_API_KEY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"Your API 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Agent-framework installed.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agent-framework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