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36.png" ContentType="image/png"/>
  <Override PartName="/word/media/rId51.png" ContentType="image/png"/>
  <Override PartName="/word/media/rId33.png" ContentType="image/png"/>
  <Override PartName="/word/media/rId45.png" ContentType="image/png"/>
  <Override PartName="/word/media/rId48.png" ContentType="image/pn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526bf456c3af31d4cb0d876c8a029b592defcde"/>
    <w:p>
      <w:pPr>
        <w:pStyle w:val="Heading1"/>
      </w:pPr>
      <w:r>
        <w:t xml:space="preserve">Lab companion — Federated Query with BigQuery and AlloyDB</w:t>
      </w:r>
    </w:p>
    <w:p>
      <w:pPr>
        <w:pStyle w:val="FirstParagraph"/>
      </w:pPr>
      <w:r>
        <w:t xml:space="preserve">Day 2 (Tue Oct 6), 10:45–11:15. The lab’s own step-by-step lives in your Google Skills classroom seat (listed there as</w:t>
      </w:r>
      <w:r>
        <w:t xml:space="preserve"> </w:t>
      </w:r>
      <w:r>
        <w:t xml:space="preserve">“Federated Query with BigQuery”</w:t>
      </w:r>
      <w:r>
        <w:t xml:space="preserve">); this companion is the orientation around it — what you’re building, why, and what tends to go wrong.</w:t>
      </w:r>
    </w:p>
    <w:p>
      <w:pPr>
        <w:pStyle w:val="BodyText"/>
      </w:pPr>
      <w:r>
        <w:rPr>
          <w:b/>
          <w:bCs/>
        </w:rPr>
        <w:t xml:space="preserve">Watch first:</w:t>
      </w:r>
      <w:r>
        <w:t xml:space="preserve"> </w:t>
      </w:r>
      <w:r>
        <w:rPr>
          <w:rStyle w:val="VerbatimChar"/>
        </w:rPr>
        <w:t xml:space="preserve">lab-walkthrough.mp4</w:t>
      </w:r>
      <w:r>
        <w:t xml:space="preserve"> </w:t>
      </w:r>
      <w:r>
        <w:t xml:space="preserve">(in this folder) is a full instructor run recorded live — connection, IAM grant, and both federated queries, end to end.</w:t>
      </w:r>
      <w:r>
        <w:t xml:space="preserve"> </w:t>
      </w:r>
      <w:r>
        <w:rPr>
          <w:rStyle w:val="VerbatimChar"/>
        </w:rPr>
        <w:t xml:space="preserve">demo-assets.sql</w:t>
      </w:r>
      <w:r>
        <w:t xml:space="preserve"> </w:t>
      </w:r>
      <w:r>
        <w:t xml:space="preserve">(same folder) has every SQL statement used in the video, including the</w:t>
      </w:r>
      <w:r>
        <w:t xml:space="preserve"> </w:t>
      </w:r>
      <w:r>
        <w:rPr>
          <w:rStyle w:val="VerbatimChar"/>
        </w:rPr>
        <w:t xml:space="preserve">web_log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customer_details</w:t>
      </w:r>
      <w:r>
        <w:t xml:space="preserve"> </w:t>
      </w:r>
      <w:r>
        <w:t xml:space="preserve">demo data, so you can rebuild the demo anywhere.</w:t>
      </w:r>
    </w:p>
    <w:bookmarkStart w:id="9" w:name="the-one-thing-to-remember"/>
    <w:p>
      <w:pPr>
        <w:pStyle w:val="Heading2"/>
      </w:pPr>
      <w:r>
        <w:t xml:space="preserve">The one thing to remember</w:t>
      </w:r>
    </w:p>
    <w:p>
      <w:pPr>
        <w:pStyle w:val="BlockText"/>
      </w:pPr>
      <w:r>
        <w:rPr>
          <w:b/>
          <w:bCs/>
        </w:rPr>
        <w:t xml:space="preserve">A federated query is BigQuery’s version of a linked server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OPENQUERY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connection resource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linked server definition</w:t>
      </w:r>
      <w:r>
        <w:t xml:space="preserve">: server, credentials, one-time setup.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EXTERNAL_QUERY(connection_id, '...')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OPENQUERY</w:t>
      </w:r>
      <w:r>
        <w:t xml:space="preserve">: the string inside the quotes is shipped to the remote system and executed</w:t>
      </w:r>
      <w:r>
        <w:t xml:space="preserve"> </w:t>
      </w:r>
      <w:r>
        <w:rPr>
          <w:i/>
          <w:iCs/>
        </w:rPr>
        <w:t xml:space="preserve">there</w:t>
      </w:r>
      <w:r>
        <w:t xml:space="preserve">, in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SQL dialect.</w:t>
      </w:r>
    </w:p>
    <w:p>
      <w:pPr>
        <w:pStyle w:val="Compact"/>
        <w:numPr>
          <w:ilvl w:val="0"/>
          <w:numId w:val="1001"/>
        </w:numPr>
      </w:pPr>
      <w:r>
        <w:t xml:space="preserve">And just like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: there is no browsing the remote tables — you query blind.</w:t>
      </w:r>
    </w:p>
    <w:bookmarkEnd w:id="9"/>
    <w:bookmarkStart w:id="10" w:name="what-youll-do"/>
    <w:p>
      <w:pPr>
        <w:pStyle w:val="Heading2"/>
      </w:pPr>
      <w:r>
        <w:t xml:space="preserve">What you’ll do</w:t>
      </w:r>
    </w:p>
    <w:p>
      <w:pPr>
        <w:pStyle w:val="Compact"/>
        <w:numPr>
          <w:ilvl w:val="0"/>
          <w:numId w:val="1002"/>
        </w:numPr>
      </w:pPr>
      <w:r>
        <w:t xml:space="preserve">Connect BigQuery to an AlloyDB for PostgreSQL database (AlloyDB plays the role of a live operational store — it is not your migration target).</w:t>
      </w:r>
    </w:p>
    <w:p>
      <w:pPr>
        <w:pStyle w:val="Compact"/>
        <w:numPr>
          <w:ilvl w:val="0"/>
          <w:numId w:val="1002"/>
        </w:numPr>
      </w:pPr>
      <w:r>
        <w:t xml:space="preserve">Run your 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against it.</w:t>
      </w:r>
    </w:p>
    <w:p>
      <w:pPr>
        <w:pStyle w:val="Compact"/>
        <w:numPr>
          <w:ilvl w:val="0"/>
          <w:numId w:val="1002"/>
        </w:numPr>
      </w:pPr>
      <w:r>
        <w:t xml:space="preserve">Join historical analytical data (in BigQuery) with live transactional rows (in AlloyDB) in a single SQL statement.</w:t>
      </w:r>
    </w:p>
    <w:bookmarkEnd w:id="10"/>
    <w:bookmarkStart w:id="11" w:name="why-it-matters-for-your-migration"/>
    <w:p>
      <w:pPr>
        <w:pStyle w:val="Heading2"/>
      </w:pPr>
      <w:r>
        <w:t xml:space="preserve">Why it matters for your migration</w:t>
      </w:r>
    </w:p>
    <w:p>
      <w:pPr>
        <w:pStyle w:val="FirstParagraph"/>
      </w:pPr>
      <w:r>
        <w:t xml:space="preserve">During your migration, not everything moves at once. Federation means the SQL Server systems that are still operational stay reachable from BigQuery</w:t>
      </w:r>
      <w:r>
        <w:t xml:space="preserve"> </w:t>
      </w:r>
      <w:r>
        <w:rPr>
          <w:b/>
          <w:bCs/>
        </w:rPr>
        <w:t xml:space="preserve">without copying them first</w:t>
      </w:r>
      <w:r>
        <w:t xml:space="preserve"> </w:t>
      </w:r>
      <w:r>
        <w:t xml:space="preserve">— no extract job built just to join operational tables against warehouse data. This is the pattern that lets you migrate in phases instead of betting on a big-bang cutover.</w:t>
      </w:r>
    </w:p>
    <w:p>
      <w:pPr>
        <w:pStyle w:val="BodyText"/>
      </w:pPr>
      <w:r>
        <w:t xml:space="preserve">The honest trade-offs, so you apply it deliberately: the source system takes the query load, results don’t get BigQuery storage optimizations, federated queries are read-only, and on-demand billing charges for the bytes returned from the external side. Federation is a bridge, not a destination — Silver/Gold still belong in managed tables.</w: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t xml:space="preserve">Launch the lab from your seat in the</w:t>
      </w:r>
      <w:r>
        <w:t xml:space="preserve"> </w:t>
      </w:r>
      <w:hyperlink r:id="rId12">
        <w:r>
          <w:rPr>
            <w:rStyle w:val="Hyperlink"/>
          </w:rPr>
          <w:t xml:space="preserve">Skills classroom</w:t>
        </w:r>
      </w:hyperlink>
      <w:r>
        <w:t xml:space="preserve"> </w:t>
      </w:r>
      <w:r>
        <w:t xml:space="preserve">and sign in to the console with the</w:t>
      </w:r>
      <w:r>
        <w:t xml:space="preserve"> </w:t>
      </w:r>
      <w:r>
        <w:rPr>
          <w:b/>
          <w:bCs/>
        </w:rPr>
        <w:t xml:space="preserve">lab-provided credentials</w:t>
      </w:r>
      <w:r>
        <w:t xml:space="preserve">, not your own account.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project picker</w:t>
      </w:r>
      <w:r>
        <w:t xml:space="preserve"> </w:t>
      </w:r>
      <w:r>
        <w:t xml:space="preserve">at the top of the console: the lab spins up its own temporary GCP project, and everything you build must go there.</w:t>
      </w:r>
    </w:p>
    <w:p>
      <w:pPr>
        <w:pStyle w:val="Compact"/>
        <w:numPr>
          <w:ilvl w:val="0"/>
          <w:numId w:val="1003"/>
        </w:numPr>
      </w:pPr>
      <w:r>
        <w:t xml:space="preserve">Note the region the lab instructions give you, and keep every resource you create in that region.</w:t>
      </w:r>
    </w:p>
    <w:bookmarkEnd w:id="13"/>
    <w:bookmarkStart w:id="14" w:name="while-you-work-pointers-not-steps"/>
    <w:p>
      <w:pPr>
        <w:pStyle w:val="Heading2"/>
      </w:pPr>
      <w:r>
        <w:t xml:space="preserve">While you work — pointers, not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connection setup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“linked server definition”</w:t>
      </w:r>
      <w:r>
        <w:rPr>
          <w:b/>
          <w:bCs/>
        </w:rPr>
        <w:t xml:space="preserve"> </w:t>
      </w:r>
      <w:r>
        <w:rPr>
          <w:b/>
          <w:bCs/>
        </w:rPr>
        <w:t xml:space="preserve">moment.</w:t>
      </w:r>
      <w:r>
        <w:t xml:space="preserve"> </w:t>
      </w:r>
      <w:r>
        <w:t xml:space="preserve">New concept, one-time work: region, connection ID, credentials. Go slowly here; once it exists, everything else is just SQL.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API-enable and consent prompts are expected.</w:t>
      </w:r>
      <w:r>
        <w:t xml:space="preserve"> </w:t>
      </w:r>
      <w:r>
        <w:t xml:space="preserve">If the console asks you to enable an API (for example the BigQuery Connection API) or confirm a consent screen, click through — that’s normal in a fresh lab project.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EXTERNAL_QUERY</w:t>
      </w:r>
      <w:r>
        <w:rPr>
          <w:b/>
          <w:bCs/>
        </w:rPr>
        <w:t xml:space="preserve">:</w:t>
      </w:r>
      <w:r>
        <w:t xml:space="preserve"> </w:t>
      </w:r>
      <w:r>
        <w:t xml:space="preserve">the inner statement is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executed on the AlloyDB side. BigQuery syntax inside the quotes fails — this is the single most common trip point. Watch your quoting too: single quotes inside the inner query must be escaped (double them, or wrap the whole inner query in triple single quotes</w:t>
      </w:r>
      <w:r>
        <w:t xml:space="preserve"> </w:t>
      </w:r>
      <w:r>
        <w:rPr>
          <w:rStyle w:val="VerbatimChar"/>
        </w:rPr>
        <w:t xml:space="preserve">'''...'''</w:t>
      </w:r>
      <w:r>
        <w:t xml:space="preserve"> </w:t>
      </w:r>
      <w:r>
        <w:t xml:space="preserve">the way Google’s own examples do).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payoff is the join:</w:t>
      </w:r>
      <w:r>
        <w:t xml:space="preserve"> </w:t>
      </w:r>
      <w:r>
        <w:t xml:space="preserve">historical/analytical data on the BigQuery side ⨝ live transactional rows on the AlloyDB side, one statement. If you get nothing else working, get this — a working connection you can re-create later is the real takeaway.</w:t>
      </w:r>
    </w:p>
    <w:bookmarkEnd w:id="14"/>
    <w:bookmarkStart w:id="54" w:name="Xf909e9f4e8df6da819ff9ad8fe6a68c140eba7e"/>
    <w:p>
      <w:pPr>
        <w:pStyle w:val="Heading2"/>
      </w:pPr>
      <w:r>
        <w:t xml:space="preserve">The critical steps, in pictures (recorded from a real run)</w:t>
      </w:r>
    </w:p>
    <w:p>
      <w:pPr>
        <w:pStyle w:val="FirstParagraph"/>
      </w:pPr>
      <w:r>
        <w:t xml:space="preserve">These frames are from an instructor dry-run of this exact lab. Project IDs, student logins and passwords in them are per-lab — yours will differ; the steps are identical.</w:t>
      </w:r>
    </w:p>
    <w:p>
      <w:pPr>
        <w:pStyle w:val="BodyText"/>
      </w:pPr>
      <w:r>
        <w:t xml:space="preserve">Consent and API prompts are part of the ritual in a fresh lab project — click through them.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sent prompt in a fresh lab project" title="" id="16" name="Picture"/>
            <a:graphic>
              <a:graphicData uri="http://schemas.openxmlformats.org/drawingml/2006/picture">
                <pic:pic>
                  <pic:nvPicPr>
                    <pic:cNvPr descr="screenshots/03-add-data-flyou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Consent prompt in a fresh lab project</w:t>
      </w:r>
    </w:p>
    <w:p>
      <w:pPr>
        <w:pStyle w:val="BodyText"/>
      </w:pPr>
      <w:r>
        <w:t xml:space="preserve">BigQuery ▸ Studio ▸</w:t>
      </w:r>
      <w:r>
        <w:t xml:space="preserve"> </w:t>
      </w:r>
      <w:r>
        <w:rPr>
          <w:b/>
          <w:bCs/>
        </w:rPr>
        <w:t xml:space="preserve">+ Add data</w:t>
      </w:r>
      <w:r>
        <w:t xml:space="preserve"> </w:t>
      </w:r>
      <w:r>
        <w:t xml:space="preserve">▸ Data Source Type =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▸ the</w:t>
      </w:r>
      <w:r>
        <w:t xml:space="preserve"> </w:t>
      </w:r>
      <w:r>
        <w:rPr>
          <w:b/>
          <w:bCs/>
        </w:rPr>
        <w:t xml:space="preserve">Google Cloud AlloyDB</w:t>
      </w:r>
      <w:r>
        <w:t xml:space="preserve"> </w:t>
      </w:r>
      <w:r>
        <w:t xml:space="preserve">card.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Add data flyout with the AlloyDB card" title="" id="19" name="Picture"/>
            <a:graphic>
              <a:graphicData uri="http://schemas.openxmlformats.org/drawingml/2006/picture">
                <pic:pic>
                  <pic:nvPicPr>
                    <pic:cNvPr descr="screenshots/04-alloydb-federation-car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data flyout with the AlloyDB card</w:t>
      </w:r>
    </w:p>
    <w:p>
      <w:pPr>
        <w:pStyle w:val="BodyText"/>
      </w:pPr>
      <w:r>
        <w:t xml:space="preserve">Pick</w:t>
      </w:r>
      <w:r>
        <w:t xml:space="preserve"> </w:t>
      </w:r>
      <w:r>
        <w:rPr>
          <w:b/>
          <w:bCs/>
        </w:rPr>
        <w:t xml:space="preserve">BigQuery Federation</w:t>
      </w:r>
      <w:r>
        <w:t xml:space="preserve"> </w:t>
      </w:r>
      <w:r>
        <w:t xml:space="preserve">under</w:t>
      </w:r>
      <w:r>
        <w:t xml:space="preserve"> </w:t>
      </w:r>
      <w:r>
        <w:t xml:space="preserve">“Access external data in place”</w:t>
      </w:r>
      <w:r>
        <w:t xml:space="preserve"> </w:t>
      </w:r>
      <w:r>
        <w:t xml:space="preserve">— federation, not a load or a Datastream replication.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BigQuery Federation card" title="" id="22" name="Picture"/>
            <a:graphic>
              <a:graphicData uri="http://schemas.openxmlformats.org/drawingml/2006/picture">
                <pic:pic>
                  <pic:nvPicPr>
                    <pic:cNvPr descr="screenshots/05-alloydb-after-click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BigQuery Federation card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“linked server definition”</w:t>
      </w:r>
      <w:r>
        <w:t xml:space="preserve"> </w:t>
      </w:r>
      <w:r>
        <w:t xml:space="preserve">moment: Connection type</w:t>
      </w:r>
      <w:r>
        <w:t xml:space="preserve"> </w:t>
      </w:r>
      <w:r>
        <w:rPr>
          <w:b/>
          <w:bCs/>
        </w:rPr>
        <w:t xml:space="preserve">AlloyDB</w:t>
      </w:r>
      <w:r>
        <w:t xml:space="preserve">, Connection ID</w:t>
      </w:r>
      <w:r>
        <w:t xml:space="preserve"> </w:t>
      </w:r>
      <w:r>
        <w:rPr>
          <w:b/>
          <w:bCs/>
        </w:rPr>
        <w:t xml:space="preserve">AlloyDB-weblog</w:t>
      </w:r>
      <w:r>
        <w:t xml:space="preserve">, Location type</w:t>
      </w:r>
      <w:r>
        <w:t xml:space="preserve"> </w:t>
      </w:r>
      <w:r>
        <w:rPr>
          <w:b/>
          <w:bCs/>
        </w:rPr>
        <w:t xml:space="preserve">Region</w:t>
      </w:r>
      <w:r>
        <w:t xml:space="preserve">, region</w:t>
      </w:r>
      <w:r>
        <w:t xml:space="preserve"> </w:t>
      </w:r>
      <w:r>
        <w:rPr>
          <w:b/>
          <w:bCs/>
        </w:rPr>
        <w:t xml:space="preserve">us-central1</w:t>
      </w:r>
      <w:r>
        <w:t xml:space="preserve">. Go slowly here — everything after this is just SQL.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nection form, top half" title="" id="25" name="Picture"/>
            <a:graphic>
              <a:graphicData uri="http://schemas.openxmlformats.org/drawingml/2006/picture">
                <pic:pic>
                  <pic:nvPicPr>
                    <pic:cNvPr descr="screenshots/07-connection-form-fille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Connection form, top half</w:t>
      </w:r>
    </w:p>
    <w:p>
      <w:pPr>
        <w:pStyle w:val="BodyText"/>
      </w:pPr>
      <w:r>
        <w:t xml:space="preserve">Bottom half of the same form: username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the password from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lab’s instructions panel, database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and the full AlloyDB instance path — then</w:t>
      </w:r>
      <w:r>
        <w:t xml:space="preserve"> </w:t>
      </w:r>
      <w:r>
        <w:rPr>
          <w:b/>
          <w:bCs/>
        </w:rPr>
        <w:t xml:space="preserve">Create connection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nection form, bottom half" title="" id="28" name="Picture"/>
            <a:graphic>
              <a:graphicData uri="http://schemas.openxmlformats.org/drawingml/2006/picture">
                <pic:pic>
                  <pic:nvPicPr>
                    <pic:cNvPr descr="screenshots/08-connection-form-botto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Connection form, bottom half</w:t>
      </w:r>
    </w:p>
    <w:p>
      <w:pPr>
        <w:pStyle w:val="BodyText"/>
      </w:pPr>
      <w:r>
        <w:t xml:space="preserve">“AlloyDB-weblog”</w:t>
      </w:r>
      <w:r>
        <w:t xml:space="preserve"> </w:t>
      </w:r>
      <w:r>
        <w:t xml:space="preserve">created. The linked server exists; nothing in it can be queried yet — its service account needs IAM first.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nection created toast" title="" id="31" name="Picture"/>
            <a:graphic>
              <a:graphicData uri="http://schemas.openxmlformats.org/drawingml/2006/picture">
                <pic:pic>
                  <pic:nvPicPr>
                    <pic:cNvPr descr="screenshots/09-connection-creat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Connection created toast</w:t>
      </w:r>
    </w:p>
    <w:p>
      <w:pPr>
        <w:pStyle w:val="BodyText"/>
      </w:pPr>
      <w:r>
        <w:t xml:space="preserve">Open the connection (Pipelines &amp; Connections ▸ Connections ▸ AlloyDB-weblog) and copy the</w:t>
      </w:r>
      <w:r>
        <w:t xml:space="preserve"> </w:t>
      </w:r>
      <w:r>
        <w:rPr>
          <w:b/>
          <w:bCs/>
        </w:rPr>
        <w:t xml:space="preserve">Service account id</w:t>
      </w:r>
      <w:r>
        <w:t xml:space="preserve"> </w:t>
      </w:r>
      <w:r>
        <w:t xml:space="preserve">— this is the principal the IAM grant goes to.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nection details with the service account id" title="" id="34" name="Picture"/>
            <a:graphic>
              <a:graphicData uri="http://schemas.openxmlformats.org/drawingml/2006/picture">
                <pic:pic>
                  <pic:nvPicPr>
                    <pic:cNvPr descr="screenshots/15-connection-info-s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Connection details with the service account id</w:t>
      </w:r>
    </w:p>
    <w:p>
      <w:pPr>
        <w:pStyle w:val="BodyText"/>
      </w:pPr>
      <w:r>
        <w:t xml:space="preserve">IAM ▸</w:t>
      </w:r>
      <w:r>
        <w:t xml:space="preserve"> </w:t>
      </w:r>
      <w:r>
        <w:rPr>
          <w:b/>
          <w:bCs/>
        </w:rPr>
        <w:t xml:space="preserve">Grant access</w:t>
      </w:r>
      <w:r>
        <w:t xml:space="preserve">: paste the service account,</w:t>
      </w:r>
      <w:r>
        <w:t xml:space="preserve"> </w:t>
      </w:r>
      <w:r>
        <w:rPr>
          <w:b/>
          <w:bCs/>
        </w:rPr>
        <w:t xml:space="preserve">press ENTER to make it a chip</w:t>
      </w:r>
      <w:r>
        <w:t xml:space="preserve">, then add both roles —</w:t>
      </w:r>
      <w:r>
        <w:t xml:space="preserve"> </w:t>
      </w:r>
      <w:r>
        <w:rPr>
          <w:b/>
          <w:bCs/>
        </w:rPr>
        <w:t xml:space="preserve">AlloyDB Client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BigQuery Connection User</w:t>
      </w:r>
      <w:r>
        <w:t xml:space="preserve"> </w:t>
      </w:r>
      <w:r>
        <w:t xml:space="preserve">— and Save. Wait for the</w:t>
      </w:r>
      <w:r>
        <w:t xml:space="preserve"> </w:t>
      </w:r>
      <w:r>
        <w:t xml:space="preserve">“Policy updated”</w:t>
      </w:r>
      <w:r>
        <w:t xml:space="preserve"> </w:t>
      </w:r>
      <w:r>
        <w:t xml:space="preserve">toast.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IAM grant panel with both roles" title="" id="37" name="Picture"/>
            <a:graphic>
              <a:graphicData uri="http://schemas.openxmlformats.org/drawingml/2006/picture">
                <pic:pic>
                  <pic:nvPicPr>
                    <pic:cNvPr descr="screenshots/11-iam-grant-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IAM grant panel with both roles</w:t>
      </w:r>
    </w:p>
    <w:p>
      <w:pPr>
        <w:pStyle w:val="BodyText"/>
      </w:pPr>
      <w:r>
        <w:t xml:space="preserve">What the chip trap looks like: the email is in the box, yet Save says</w:t>
      </w:r>
      <w:r>
        <w:t xml:space="preserve"> </w:t>
      </w:r>
      <w:r>
        <w:t xml:space="preserve">“Enter at least one principal”</w:t>
      </w:r>
      <w:r>
        <w:t xml:space="preserve"> </w:t>
      </w:r>
      <w:r>
        <w:t xml:space="preserve">— the text was never committed as a chip.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The chip trap" title="" id="40" name="Picture"/>
            <a:graphic>
              <a:graphicData uri="http://schemas.openxmlformats.org/drawingml/2006/picture">
                <pic:pic>
                  <pic:nvPicPr>
                    <pic:cNvPr descr="screenshots/26-iam-chip-err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chip trap</w:t>
      </w:r>
    </w:p>
    <w:p>
      <w:pPr>
        <w:pStyle w:val="BodyText"/>
      </w:pPr>
      <w:r>
        <w:t xml:space="preserve">Self-check landmark: the connection shows under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in the Explorer tree, next to the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dataset — remember, the AlloyDB tables will NOT appear here; federation is query-only.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Connection in the Explorer tree" title="" id="43" name="Picture"/>
            <a:graphic>
              <a:graphicData uri="http://schemas.openxmlformats.org/drawingml/2006/picture">
                <pic:pic>
                  <pic:nvPicPr>
                    <pic:cNvPr descr="screenshots/10-connection-details-s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Connection in the Explorer tree</w:t>
      </w:r>
    </w:p>
    <w:p>
      <w:pPr>
        <w:pStyle w:val="BodyText"/>
      </w:pPr>
      <w:r>
        <w:t xml:space="preserve">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, green: rows coming back from AlloyDB’s</w:t>
      </w:r>
      <w:r>
        <w:t xml:space="preserve"> </w:t>
      </w:r>
      <w:r>
        <w:rPr>
          <w:rStyle w:val="VerbatimChar"/>
        </w:rPr>
        <w:t xml:space="preserve">web_log</w:t>
      </w:r>
      <w:r>
        <w:t xml:space="preserve"> </w:t>
      </w:r>
      <w:r>
        <w:t xml:space="preserve">while you sit in BigQuery. The inner string ran as PostgreSQL on the AlloyDB side.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First federated query results" title="" id="46" name="Picture"/>
            <a:graphic>
              <a:graphicData uri="http://schemas.openxmlformats.org/drawingml/2006/picture">
                <pic:pic>
                  <pic:nvPicPr>
                    <pic:cNvPr descr="screenshots/23-query1-succe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 federated query results</w:t>
      </w:r>
    </w:p>
    <w:p>
      <w:pPr>
        <w:pStyle w:val="BodyText"/>
      </w:pPr>
      <w:r>
        <w:t xml:space="preserve">The payoff — one statement, two homes:</w:t>
      </w:r>
      <w:r>
        <w:t xml:space="preserve"> </w:t>
      </w:r>
      <w:r>
        <w:rPr>
          <w:rStyle w:val="VerbatimChar"/>
        </w:rPr>
        <w:t xml:space="preserve">url</w:t>
      </w:r>
      <w:r>
        <w:t xml:space="preserve">/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from live AlloyDB rows joined with</w:t>
      </w:r>
      <w:r>
        <w:t xml:space="preserve"> </w:t>
      </w:r>
      <w:r>
        <w:rPr>
          <w:rStyle w:val="VerbatimChar"/>
        </w:rPr>
        <w:t xml:space="preserve">traffic_source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from the BigQuery customers table. If you get nothing else working in the lab, get this.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The join results" title="" id="49" name="Picture"/>
            <a:graphic>
              <a:graphicData uri="http://schemas.openxmlformats.org/drawingml/2006/picture">
                <pic:pic>
                  <pic:nvPicPr>
                    <pic:cNvPr descr="screenshots/24-join-succes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join results</w:t>
      </w:r>
    </w:p>
    <w:p>
      <w:pPr>
        <w:pStyle w:val="BodyText"/>
      </w:pPr>
      <w:r>
        <w:t xml:space="preserve">And when it goes wrong, this is the face of it — the PostgreSQL connection error with Google’s own troubleshooting link. Nine times out of ten it is the IAM chip trap or the per-lab password.</w:t>
      </w:r>
    </w:p>
    <w:p>
      <w:pPr>
        <w:pStyle w:val="CaptionedFigure"/>
      </w:pPr>
      <w:r>
        <w:drawing>
          <wp:inline>
            <wp:extent cx="5334000" cy="2425303"/>
            <wp:effectExtent b="0" l="0" r="0" t="0"/>
            <wp:docPr descr="The PostgreSQL connection error" title="" id="52" name="Picture"/>
            <a:graphic>
              <a:graphicData uri="http://schemas.openxmlformats.org/drawingml/2006/picture">
                <pic:pic>
                  <pic:nvPicPr>
                    <pic:cNvPr descr="screenshots/12-query1-resul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PostgreSQL connection error</w:t>
      </w:r>
    </w:p>
    <w:bookmarkEnd w:id="54"/>
    <w:bookmarkStart w:id="55" w:name="common-gotchas"/>
    <w:p>
      <w:pPr>
        <w:pStyle w:val="Heading2"/>
      </w:pPr>
      <w:r>
        <w:t xml:space="preserve">Common gotchas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“Connect to PostgreSQL server failed: server closed the connection unexpectedly”</w:t>
      </w:r>
      <w:r>
        <w:t xml:space="preserve"> </w:t>
      </w:r>
      <w:r>
        <w:t xml:space="preserve">— this one error has two sneaky causes, both at setup time. First, credentials: the connection form values are per-lab — copy the password from YOUR running lab’s instructions panel (it matches your console password), not from a stale manual page or a previous run. Second — and this one bites everyone — the IAM grant silently never happened: see the chip trap next.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principal chip trap (the #1 silent failure):</w:t>
      </w:r>
      <w:r>
        <w:t xml:space="preserve"> </w:t>
      </w:r>
      <w:r>
        <w:t xml:space="preserve">when you paste the connection service account into</w:t>
      </w:r>
      <w:r>
        <w:t xml:space="preserve"> </w:t>
      </w:r>
      <w:r>
        <w:t xml:space="preserve">“New principals”</w:t>
      </w:r>
      <w:r>
        <w:t xml:space="preserve"> </w:t>
      </w:r>
      <w:r>
        <w:t xml:space="preserve">on the IAM</w:t>
      </w:r>
      <w:r>
        <w:t xml:space="preserve"> </w:t>
      </w:r>
      <w:r>
        <w:t xml:space="preserve">“Grant access”</w:t>
      </w:r>
      <w:r>
        <w:t xml:space="preserve"> </w:t>
      </w:r>
      <w:r>
        <w:t xml:space="preserve">panel, you MUST press Enter afterwards so the address turns into a chip — otherwise Save is rejected with</w:t>
      </w:r>
      <w:r>
        <w:t xml:space="preserve"> </w:t>
      </w:r>
      <w:r>
        <w:t xml:space="preserve">“Enter at least one principal”</w:t>
      </w:r>
      <w:r>
        <w:t xml:space="preserve"> </w:t>
      </w:r>
      <w:r>
        <w:t xml:space="preserve">(easy to miss: the email is sitting right there in the box). If you click a suggestion as well, you can end up with a duplicate chip — delete one with its ×. The grant only counts when you see the</w:t>
      </w:r>
      <w:r>
        <w:t xml:space="preserve"> </w:t>
      </w:r>
      <w:r>
        <w:t xml:space="preserve">“Policy updated”</w:t>
      </w:r>
      <w:r>
        <w:t xml:space="preserve"> </w:t>
      </w:r>
      <w:r>
        <w:t xml:space="preserve">toast; check the principal actually appears in the IAM list. Without this grant, every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fails with the PostgreSQL connection error above.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Wrong project in the picker</w:t>
      </w:r>
      <w:r>
        <w:t xml:space="preserve"> </w:t>
      </w:r>
      <w:r>
        <w:t xml:space="preserve">— you created the connection in the wrong project and now nothing in the lab matches. Check the picker first whenever something</w:t>
      </w:r>
      <w:r>
        <w:t xml:space="preserve"> </w:t>
      </w:r>
      <w:r>
        <w:t xml:space="preserve">“isn’t there.”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Connection ID typos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EXTERNAL_QUERY</w:t>
      </w:r>
      <w:r>
        <w:t xml:space="preserve"> </w:t>
      </w:r>
      <w:r>
        <w:t xml:space="preserve">— it must match exactly, in the form</w:t>
      </w:r>
      <w:r>
        <w:t xml:space="preserve"> </w:t>
      </w:r>
      <w:r>
        <w:rPr>
          <w:rStyle w:val="VerbatimChar"/>
        </w:rPr>
        <w:t xml:space="preserve">region.connection-id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'us.my-connection'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Region alignment</w:t>
      </w:r>
      <w:r>
        <w:t xml:space="preserve"> </w:t>
      </w:r>
      <w:r>
        <w:t xml:space="preserve">— the connection resource’s location must match where the query runs, and a single-region BigQuery setup can only federate to sources in the same region. If the lab says one region, use it everywhere.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BigQuery SQL inside the quotes</w:t>
      </w:r>
      <w:r>
        <w:t xml:space="preserve"> </w:t>
      </w:r>
      <w:r>
        <w:t xml:space="preserve">— the inner string is PostgreSQL. Backticks, GoogleSQL functions, and T-SQL habits all fail in there.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“Why can’t I see the AlloyDB tables in the Explorer pane?”</w:t>
      </w:r>
      <w:r>
        <w:t xml:space="preserve"> </w:t>
      </w:r>
      <w:r>
        <w:t xml:space="preserve">— because federation is query-only. There is no table browsing; you write the inner query blind, exactly like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.</w:t>
      </w:r>
    </w:p>
    <w:bookmarkEnd w:id="55"/>
    <w:bookmarkStart w:id="56" w:name="if-you-finish-early"/>
    <w:p>
      <w:pPr>
        <w:pStyle w:val="Heading2"/>
      </w:pPr>
      <w:r>
        <w:t xml:space="preserve">If you finish early</w:t>
      </w:r>
    </w:p>
    <w:p>
      <w:pPr>
        <w:numPr>
          <w:ilvl w:val="0"/>
          <w:numId w:val="1006"/>
        </w:numPr>
      </w:pPr>
      <w:r>
        <w:t xml:space="preserve">Run the inner PostgreSQL query on its own (just the string inside the quotes) to prove to yourself which side executes it.</w:t>
      </w:r>
    </w:p>
    <w:p>
      <w:pPr>
        <w:numPr>
          <w:ilvl w:val="0"/>
          <w:numId w:val="1006"/>
        </w:numPr>
      </w:pPr>
      <w:r>
        <w:t xml:space="preserve">Add a filter inside the inner query — for example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— and watch the remote side do the work before BigQuery sees a row.</w:t>
      </w:r>
    </w:p>
    <w:p>
      <w:pPr>
        <w:numPr>
          <w:ilvl w:val="0"/>
          <w:numId w:val="1006"/>
        </w:numPr>
      </w:pPr>
      <w:r>
        <w:t xml:space="preserve">List the remote database’s metadata through the same connection: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EXTERNAL_QUERY(</w:t>
      </w:r>
      <w:r>
        <w:rPr>
          <w:rStyle w:val="OtherTok"/>
        </w:rPr>
        <w:t xml:space="preserve">"region.connection-id"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"select * from information_schema.tables;"</w:t>
      </w:r>
      <w:r>
        <w:rPr>
          <w:rStyle w:val="NormalTok"/>
        </w:rPr>
        <w:t xml:space="preserve">);</w:t>
      </w:r>
    </w:p>
    <w:p>
      <w:pPr>
        <w:numPr>
          <w:ilvl w:val="0"/>
          <w:numId w:val="1000"/>
        </w:numPr>
      </w:pPr>
      <w:r>
        <w:t xml:space="preserve">(swap in your connection ID — this is the PostgreSQL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, not BigQuery’s).</w:t>
      </w:r>
    </w:p>
    <w:p>
      <w:pPr>
        <w:numPr>
          <w:ilvl w:val="0"/>
          <w:numId w:val="1006"/>
        </w:numPr>
      </w:pPr>
      <w:r>
        <w:t xml:space="preserve">Open the job’s</w:t>
      </w:r>
      <w:r>
        <w:t xml:space="preserve"> </w:t>
      </w:r>
      <w:r>
        <w:rPr>
          <w:b/>
          <w:bCs/>
        </w:rPr>
        <w:t xml:space="preserve">Execution details</w:t>
      </w:r>
      <w:r>
        <w:t xml:space="preserve"> </w:t>
      </w:r>
      <w:r>
        <w:t xml:space="preserve">after the join and find what BigQuery reports for the federated step.</w:t>
      </w:r>
    </w:p>
    <w:bookmarkEnd w:id="56"/>
    <w:bookmarkStart w:id="57" w:name="self-check"/>
    <w:p>
      <w:pPr>
        <w:pStyle w:val="Heading2"/>
      </w:pPr>
      <w:r>
        <w:t xml:space="preserve">Self-check</w:t>
      </w:r>
    </w:p>
    <w:p>
      <w:pPr>
        <w:pStyle w:val="Compact"/>
        <w:numPr>
          <w:ilvl w:val="0"/>
          <w:numId w:val="1007"/>
        </w:numPr>
      </w:pPr>
      <w:r>
        <w:t xml:space="preserve">I can see my connection resource under</w:t>
      </w:r>
      <w:r>
        <w:t xml:space="preserve"> </w:t>
      </w:r>
      <w:r>
        <w:rPr>
          <w:b/>
          <w:bCs/>
        </w:rPr>
        <w:t xml:space="preserve">External connections</w:t>
      </w:r>
      <w:r>
        <w:t xml:space="preserve"> </w:t>
      </w:r>
      <w:r>
        <w:t xml:space="preserve">in the BigQuery Explorer pane.</w:t>
      </w:r>
    </w:p>
    <w:p>
      <w:pPr>
        <w:pStyle w:val="Compact"/>
        <w:numPr>
          <w:ilvl w:val="0"/>
          <w:numId w:val="1008"/>
        </w:numPr>
      </w:pPr>
      <w:r>
        <w:t xml:space="preserve">My first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returned rows from AlloyDB.</w:t>
      </w:r>
    </w:p>
    <w:p>
      <w:pPr>
        <w:pStyle w:val="Compact"/>
        <w:numPr>
          <w:ilvl w:val="0"/>
          <w:numId w:val="1009"/>
        </w:numPr>
      </w:pPr>
      <w:r>
        <w:t xml:space="preserve">I joined BigQuery historical data with live AlloyDB transactional rows in one query.</w:t>
      </w:r>
    </w:p>
    <w:p>
      <w:pPr>
        <w:pStyle w:val="Compact"/>
        <w:numPr>
          <w:ilvl w:val="0"/>
          <w:numId w:val="1010"/>
        </w:numPr>
      </w:pPr>
      <w:r>
        <w:t xml:space="preserve">I can explain which part of the query runs where: the inner string is PostgreSQL on AlloyDB; everything outside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is GoogleSQL in BigQuery.</w:t>
      </w:r>
    </w:p>
    <w:p>
      <w:pPr>
        <w:pStyle w:val="Compact"/>
        <w:numPr>
          <w:ilvl w:val="0"/>
          <w:numId w:val="1011"/>
        </w:numPr>
      </w:pPr>
      <w:r>
        <w:t xml:space="preserve">I can name what this maps to in my current stack: a linked server definition plus</w:t>
      </w:r>
      <w:r>
        <w:t xml:space="preserve"> </w:t>
      </w:r>
      <w:r>
        <w:rPr>
          <w:rStyle w:val="VerbatimChar"/>
        </w:rPr>
        <w:t xml:space="preserve">OPENQUERY</w:t>
      </w:r>
      <w:r>
        <w:t xml:space="preserve">.</w:t>
      </w:r>
    </w:p>
    <w:bookmarkEnd w:id="57"/>
    <w:bookmarkStart w:id="58" w:name="what-this-replaces-in-your-current-stack"/>
    <w:p>
      <w:pPr>
        <w:pStyle w:val="Heading2"/>
      </w:pPr>
      <w:r>
        <w:t xml:space="preserve">What this replaces in your current stack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Linked servers, four-part names,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OPENQUERY</w:t>
      </w:r>
      <w:r>
        <w:t xml:space="preserve"> </w:t>
      </w:r>
      <w:r>
        <w:t xml:space="preserve">— the connection resource plus</w:t>
      </w:r>
      <w:r>
        <w:t xml:space="preserve"> </w:t>
      </w:r>
      <w:r>
        <w:rPr>
          <w:rStyle w:val="VerbatimChar"/>
        </w:rPr>
        <w:t xml:space="preserve">EXTERNAL_QUERY</w:t>
      </w:r>
      <w:r>
        <w:t xml:space="preserve"> </w:t>
      </w:r>
      <w:r>
        <w:t xml:space="preserve">covers the same ground.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nightly</w:t>
      </w:r>
      <w:r>
        <w:rPr>
          <w:b/>
          <w:bCs/>
        </w:rPr>
        <w:t xml:space="preserve"> </w:t>
      </w:r>
      <w:r>
        <w:rPr>
          <w:b/>
          <w:bCs/>
        </w:rPr>
        <w:t xml:space="preserve">“extract the operational tables just so we can join them”</w:t>
      </w:r>
      <w:r>
        <w:rPr>
          <w:b/>
          <w:bCs/>
        </w:rP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— during the migration you query data where it lives and load it only when there’s a reason to.</w:t>
      </w:r>
    </w:p>
    <w:p>
      <w:pPr>
        <w:pStyle w:val="FirstParagraph"/>
      </w:pPr>
      <w:r>
        <w:rPr>
          <w:b/>
          <w:bCs/>
        </w:rPr>
        <w:t xml:space="preserve">The debrief in one line: querying data where it lives — that is the lakehouse promise.</w:t>
      </w:r>
      <w:r>
        <w:t xml:space="preserve"> </w:t>
      </w:r>
      <w:r>
        <w:t xml:space="preserve">Your Bronze lands in GCS/BigQuery, but anything still operational on the SQL Server side stays reachable during the migration. You don’t have to move it all first.</w:t>
      </w:r>
    </w:p>
    <w:bookmarkEnd w:id="58"/>
    <w:bookmarkStart w:id="63" w:name="dig-deeper"/>
    <w:p>
      <w:pPr>
        <w:pStyle w:val="Heading2"/>
      </w:pPr>
      <w:r>
        <w:t xml:space="preserve">Dig deeper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Introduction to federated queries</w:t>
        </w:r>
      </w:hyperlink>
      <w:r>
        <w:t xml:space="preserve"> </w:t>
      </w:r>
      <w:r>
        <w:t xml:space="preserve">— region rules, quotas, pricing, SQL pushdowns</w:t>
      </w:r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AlloyDB federated queries</w:t>
        </w:r>
      </w:hyperlink>
      <w:r>
        <w:t xml:space="preserve"> </w:t>
      </w:r>
      <w:r>
        <w:t xml:space="preserve">— including the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trick above</w:t>
      </w:r>
    </w:p>
    <w:p>
      <w:pPr>
        <w:pStyle w:val="Compact"/>
        <w:numPr>
          <w:ilvl w:val="0"/>
          <w:numId w:val="1013"/>
        </w:numPr>
      </w:pPr>
      <w:hyperlink r:id="rId61">
        <w:r>
          <w:rPr>
            <w:rStyle w:val="Hyperlink"/>
          </w:rPr>
          <w:t xml:space="preserve">AlloyDB overview</w:t>
        </w:r>
      </w:hyperlink>
      <w:r>
        <w:t xml:space="preserve"> </w:t>
      </w:r>
      <w:r>
        <w:t xml:space="preserve">— what the lab’s stand-in operational store actually is</w:t>
      </w:r>
    </w:p>
    <w:p>
      <w:pPr>
        <w:pStyle w:val="Compact"/>
        <w:numPr>
          <w:ilvl w:val="0"/>
          <w:numId w:val="1013"/>
        </w:numPr>
      </w:pPr>
      <w:r>
        <w:t xml:space="preserve">Next: the same trick against files in Cloud Storage —</w:t>
      </w:r>
      <w:r>
        <w:t xml:space="preserve"> </w:t>
      </w:r>
      <w:hyperlink r:id="rId62">
        <w:r>
          <w:rPr>
            <w:rStyle w:val="Hyperlink"/>
          </w:rPr>
          <w:t xml:space="preserve">Exploring external tables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Part of the Iowa DOM DoIT Data Engineering student pack —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../00_schedule.md</w:t>
      </w:r>
      <w:r>
        <w:rPr>
          <w:i/>
          <w:iCs/>
        </w:rPr>
        <w:t xml:space="preserve">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36" Target="media/rId36.png" /><Relationship Type="http://schemas.openxmlformats.org/officeDocument/2006/relationships/image" Id="rId51" Target="media/rId51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9" Target="media/rId39.jpg" /><Relationship Type="http://schemas.openxmlformats.org/officeDocument/2006/relationships/hyperlink" Id="rId62" Target="../05_activity-external-tables/activity-guide.md" TargetMode="External" /><Relationship Type="http://schemas.openxmlformats.org/officeDocument/2006/relationships/hyperlink" Id="rId61" Target="https://cloud.google.com/alloydb/docs/overview" TargetMode="External" /><Relationship Type="http://schemas.openxmlformats.org/officeDocument/2006/relationships/hyperlink" Id="rId60" Target="https://cloud.google.com/bigquery/docs/alloydb-federated-queries" TargetMode="External" /><Relationship Type="http://schemas.openxmlformats.org/officeDocument/2006/relationships/hyperlink" Id="rId59" Target="https://cloud.google.com/bigquery/docs/federated-queries-intro" TargetMode="External" /><Relationship Type="http://schemas.openxmlformats.org/officeDocument/2006/relationships/hyperlink" Id="rId12" Target="https://www.skills.google/ilt/classrooms/379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5_activity-external-tables/activity-guide.md" TargetMode="External" /><Relationship Type="http://schemas.openxmlformats.org/officeDocument/2006/relationships/hyperlink" Id="rId61" Target="https://cloud.google.com/alloydb/docs/overview" TargetMode="External" /><Relationship Type="http://schemas.openxmlformats.org/officeDocument/2006/relationships/hyperlink" Id="rId60" Target="https://cloud.google.com/bigquery/docs/alloydb-federated-queries" TargetMode="External" /><Relationship Type="http://schemas.openxmlformats.org/officeDocument/2006/relationships/hyperlink" Id="rId59" Target="https://cloud.google.com/bigquery/docs/federated-queries-intro" TargetMode="External" /><Relationship Type="http://schemas.openxmlformats.org/officeDocument/2006/relationships/hyperlink" Id="rId12" Target="https://www.skills.google/ilt/classrooms/379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2026-10-06T14:40:38Z</dcterms:created>
  <dcterms:modified xsi:type="dcterms:W3CDTF">2026-10-06T14:40:38Z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