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9b72062cb156788623697b51824adab71e68fd"/>
    <w:p>
      <w:pPr>
        <w:pStyle w:val="Heading1"/>
      </w:pPr>
      <w:r>
        <w:t xml:space="preserve">Activity Guide: Console Orientation — Projects, Datasets, and Tables</w:t>
      </w:r>
    </w:p>
    <w:p>
      <w:pPr>
        <w:pStyle w:val="FirstParagraph"/>
      </w:pPr>
      <w:r>
        <w:t xml:space="preserve">Guided follow-along on Day 1 (10:10–10:25 AM CT), right after M1: your first hands-on tour of the BigQuery console. Based on §3 ("Exploring projects, datasets, and tables") of the</w:t>
      </w:r>
      <w:r>
        <w:t xml:space="preserve"> </w:t>
      </w:r>
      <w:hyperlink r:id="rId9">
        <w:r>
          <w:rPr>
            <w:rStyle w:val="Hyperlink"/>
          </w:rPr>
          <w:t xml:space="preserve">Do-It-Now (DIN) activities page</w:t>
        </w:r>
      </w:hyperlink>
      <w:r>
        <w:t xml:space="preserve">. No cost; everything happens in the console.</w:t>
      </w:r>
    </w:p>
    <w:bookmarkStart w:id="10" w:name="what-youll-do"/>
    <w:p>
      <w:pPr>
        <w:pStyle w:val="Heading2"/>
      </w:pPr>
      <w:r>
        <w:t xml:space="preserve">What you'll do</w:t>
      </w:r>
    </w:p>
    <w:p>
      <w:pPr>
        <w:pStyle w:val="Compact"/>
        <w:numPr>
          <w:ilvl w:val="0"/>
          <w:numId w:val="1001"/>
        </w:numPr>
      </w:pPr>
      <w:r>
        <w:t xml:space="preserve">Open the BigQuery console and pin it for the day</w:t>
      </w:r>
    </w:p>
    <w:p>
      <w:pPr>
        <w:pStyle w:val="Compact"/>
        <w:numPr>
          <w:ilvl w:val="0"/>
          <w:numId w:val="1001"/>
        </w:numPr>
      </w:pPr>
      <w:r>
        <w:t xml:space="preserve">Star three projects into your Explorer:</w:t>
      </w:r>
      <w:r>
        <w:t xml:space="preserve"> </w:t>
      </w:r>
      <w:r>
        <w:rPr>
          <w:rStyle w:val="VerbatimChar"/>
        </w:rPr>
        <w:t xml:space="preserve">bigquery-samples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roi-bq-demos</w:t>
      </w:r>
    </w:p>
    <w:p>
      <w:pPr>
        <w:pStyle w:val="Compact"/>
        <w:numPr>
          <w:ilvl w:val="0"/>
          <w:numId w:val="1001"/>
        </w:numPr>
      </w:pPr>
      <w:r>
        <w:t xml:space="preserve">Explore a public dataset and a 100-billion-row table (schema, details, preview — no query, no cost)</w:t>
      </w:r>
    </w:p>
    <w:p>
      <w:pPr>
        <w:pStyle w:val="Compact"/>
        <w:numPr>
          <w:ilvl w:val="0"/>
          <w:numId w:val="1001"/>
        </w:numPr>
      </w:pPr>
      <w:r>
        <w:t xml:space="preserve">Create your own dataset named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for this afternoon's loading activities</w:t>
      </w:r>
    </w:p>
    <w:bookmarkEnd w:id="10"/>
    <w:bookmarkStart w:id="11" w:name="why-it-matters-for-your-migration"/>
    <w:p>
      <w:pPr>
        <w:pStyle w:val="Heading2"/>
      </w:pPr>
      <w:r>
        <w:t xml:space="preserve">Why it matters for your migration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→ dataset → table</w:t>
      </w:r>
      <w:r>
        <w:t xml:space="preserve"> </w:t>
      </w:r>
      <w:r>
        <w:t xml:space="preserve">is the GCP resource hierarchy — the same shape as your</w:t>
      </w:r>
      <w:r>
        <w:t xml:space="preserve"> </w:t>
      </w:r>
      <w:r>
        <w:rPr>
          <w:b/>
          <w:bCs/>
        </w:rPr>
        <w:t xml:space="preserve">instance → database → schema.table</w:t>
      </w:r>
      <w:r>
        <w:t xml:space="preserve">. Everything you build on GCP hangs off this skeleton.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Starring is your first taste of "query data where it lives."</w:t>
      </w:r>
      <w:r>
        <w:t xml:space="preserve"> </w:t>
      </w:r>
      <w:r>
        <w:t xml:space="preserve">Starred projects belong to someone else and stay read-only, yet you can query across them without copying a byte. That is the mechanic behind BigQuery as a single source of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dataset is your landing zone.</w:t>
      </w:r>
      <w:r>
        <w:t xml:space="preserve"> </w:t>
      </w:r>
      <w:r>
        <w:t xml:space="preserve">Every load this afternoon lands there — think of it as your Bronze layer in miniature.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100-billion-row table is the scale story, felt.</w:t>
      </w:r>
      <w:r>
        <w:t xml:space="preserve"> </w:t>
      </w:r>
      <w:r>
        <w:t xml:space="preserve">You're about to browse 100B rows with zero servers provisioned.</w: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t xml:space="preserve">You are signed in to the Google Cloud console with the lab user account from your</w:t>
      </w:r>
      <w:r>
        <w:t xml:space="preserve"> </w:t>
      </w:r>
      <w:hyperlink r:id="rId12">
        <w:r>
          <w:rPr>
            <w:rStyle w:val="Hyperlink"/>
          </w:rPr>
          <w:t xml:space="preserve">Skills classroom</w:t>
        </w:r>
      </w:hyperlink>
      <w:r>
        <w:t xml:space="preserve"> </w:t>
      </w:r>
      <w:r>
        <w:t xml:space="preserve">lab.</w:t>
      </w:r>
    </w:p>
    <w:p>
      <w:pPr>
        <w:pStyle w:val="Compact"/>
        <w:numPr>
          <w:ilvl w:val="0"/>
          <w:numId w:val="1003"/>
        </w:numPr>
      </w:pPr>
      <w:r>
        <w:t xml:space="preserve">You know how to check which project is selected: the</w:t>
      </w:r>
      <w:r>
        <w:t xml:space="preserve"> </w:t>
      </w:r>
      <w:r>
        <w:rPr>
          <w:b/>
          <w:bCs/>
        </w:rPr>
        <w:t xml:space="preserve">project picker</w:t>
      </w:r>
      <w:r>
        <w:t xml:space="preserve"> </w:t>
      </w:r>
      <w:r>
        <w:t xml:space="preserve">in the top bar.</w:t>
      </w:r>
    </w:p>
    <w:bookmarkEnd w:id="13"/>
    <w:bookmarkStart w:id="20" w:name="steps"/>
    <w:p>
      <w:pPr>
        <w:pStyle w:val="Heading2"/>
      </w:pPr>
      <w:r>
        <w:t xml:space="preserve">Steps</w:t>
      </w:r>
    </w:p>
    <w:p>
      <w:pPr>
        <w:pStyle w:val="FirstParagraph"/>
      </w:pPr>
      <w:r>
        <w:t xml:space="preserve">Follow your instructor's screen; the annotations below tell you what to notice at each stop.</w:t>
      </w:r>
    </w:p>
    <w:bookmarkStart w:id="14" w:name="X0e4a7d58b39f1c72db24e8b065df879aa896802"/>
    <w:p>
      <w:pPr>
        <w:pStyle w:val="Heading3"/>
      </w:pPr>
      <w:r>
        <w:t xml:space="preserve">1. Get to BigQuery</w:t>
      </w:r>
    </w:p>
    <w:p>
      <w:pPr>
        <w:pStyle w:val="Compact"/>
        <w:numPr>
          <w:ilvl w:val="0"/>
          <w:numId w:val="1004"/>
        </w:numPr>
      </w:pPr>
      <w:r>
        <w:t xml:space="preserve">Open the Google Cloud console.</w:t>
      </w:r>
    </w:p>
    <w:p>
      <w:pPr>
        <w:pStyle w:val="Compact"/>
        <w:numPr>
          <w:ilvl w:val="0"/>
          <w:numId w:val="1004"/>
        </w:numPr>
      </w:pPr>
      <w:r>
        <w:t xml:space="preserve">Open the navigation menu (the "hamburger" icon, top left) and choose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— or type "BigQuery" into the search bar at the top.</w:t>
      </w:r>
    </w:p>
    <w:p>
      <w:pPr>
        <w:pStyle w:val="Compact"/>
        <w:numPr>
          <w:ilvl w:val="0"/>
          <w:numId w:val="1004"/>
        </w:numPr>
      </w:pPr>
      <w:r>
        <w:t xml:space="preserve">Hover over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in the navigation menu and click the pin, so it stays at the top all day.</w:t>
      </w:r>
    </w:p>
    <w:p>
      <w:pPr>
        <w:pStyle w:val="Compact"/>
        <w:numPr>
          <w:ilvl w:val="0"/>
          <w:numId w:val="1004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Explorer</w:t>
      </w:r>
      <w:r>
        <w:t xml:space="preserve"> </w:t>
      </w:r>
      <w:r>
        <w:t xml:space="preserve">pane (left), expand your project. Notice it's empty — nothing exists yet.</w:t>
      </w:r>
    </w:p>
    <w:bookmarkEnd w:id="14"/>
    <w:bookmarkStart w:id="16" w:name="X6128353a196cccbacdf12c9c18645e0f09d20be"/>
    <w:p>
      <w:pPr>
        <w:pStyle w:val="Heading3"/>
      </w:pPr>
      <w:r>
        <w:t xml:space="preserve">2. Star three projects</w:t>
      </w:r>
    </w:p>
    <w:p>
      <w:pPr>
        <w:pStyle w:val="FirstParagraph"/>
      </w:pPr>
      <w:r>
        <w:t xml:space="preserve">Starring pins someone else's project into your Explorer so you can browse and query it.</w:t>
      </w:r>
    </w:p>
    <w:p>
      <w:pPr>
        <w:pStyle w:val="Compact"/>
        <w:numPr>
          <w:ilvl w:val="0"/>
          <w:numId w:val="1005"/>
        </w:numPr>
      </w:pPr>
      <w:r>
        <w:t xml:space="preserve">In the Explorer pane, click</w:t>
      </w:r>
      <w:r>
        <w:t xml:space="preserve"> </w:t>
      </w:r>
      <w:r>
        <w:rPr>
          <w:b/>
          <w:bCs/>
        </w:rPr>
        <w:t xml:space="preserve">+ Add</w:t>
      </w:r>
      <w:r>
        <w:t xml:space="preserve">, then choose</w:t>
      </w:r>
      <w:r>
        <w:t xml:space="preserve"> </w:t>
      </w:r>
      <w:r>
        <w:rPr>
          <w:b/>
          <w:bCs/>
        </w:rPr>
        <w:t xml:space="preserve">Star a project by name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Type the name exactly and confirm:</w:t>
      </w:r>
      <w:r>
        <w:t xml:space="preserve"> </w:t>
      </w:r>
      <w:r>
        <w:rPr>
          <w:rStyle w:val="VerbatimChar"/>
        </w:rPr>
        <w:t xml:space="preserve">bigquery-samples</w:t>
      </w:r>
    </w:p>
    <w:p>
      <w:pPr>
        <w:pStyle w:val="Compact"/>
        <w:numPr>
          <w:ilvl w:val="0"/>
          <w:numId w:val="1005"/>
        </w:numPr>
      </w:pPr>
      <w:r>
        <w:t xml:space="preserve">Repeat for:</w:t>
      </w:r>
      <w:r>
        <w:t xml:space="preserve"> </w:t>
      </w:r>
      <w:r>
        <w:rPr>
          <w:rStyle w:val="VerbatimChar"/>
        </w:rPr>
        <w:t xml:space="preserve">bigquery-public-data</w:t>
      </w:r>
    </w:p>
    <w:p>
      <w:pPr>
        <w:pStyle w:val="Compact"/>
        <w:numPr>
          <w:ilvl w:val="0"/>
          <w:numId w:val="1005"/>
        </w:numPr>
      </w:pPr>
      <w:r>
        <w:t xml:space="preserve">Repeat for:</w:t>
      </w:r>
      <w:r>
        <w:t xml:space="preserve"> </w:t>
      </w:r>
      <w:r>
        <w:rPr>
          <w:rStyle w:val="VerbatimChar"/>
        </w:rPr>
        <w:t xml:space="preserve">roi-bq-demos</w:t>
      </w:r>
    </w:p>
    <w:p>
      <w:pPr>
        <w:pStyle w:val="Compact"/>
        <w:numPr>
          <w:ilvl w:val="0"/>
          <w:numId w:val="1005"/>
        </w:numPr>
      </w:pPr>
      <w:r>
        <w:t xml:space="preserve">Star any additional projects your instructor calls out.</w:t>
      </w:r>
    </w:p>
    <w:p>
      <w:pPr>
        <w:pStyle w:val="FirstParagraph"/>
      </w:pPr>
      <w:r>
        <w:t xml:space="preserve">(Console docs:</w:t>
      </w:r>
      <w:r>
        <w:t xml:space="preserve"> </w:t>
      </w:r>
      <w:hyperlink r:id="rId15">
        <w:r>
          <w:rPr>
            <w:rStyle w:val="Hyperlink"/>
          </w:rPr>
          <w:t xml:space="preserve">starring a project</w:t>
        </w:r>
      </w:hyperlink>
      <w:r>
        <w:t xml:space="preserve">)</w:t>
      </w:r>
    </w:p>
    <w:bookmarkEnd w:id="16"/>
    <w:bookmarkStart w:id="17" w:name="X5a818c8003a10791b5d7c7dffff1641536cd25b"/>
    <w:p>
      <w:pPr>
        <w:pStyle w:val="Heading3"/>
      </w:pPr>
      <w:r>
        <w:t xml:space="preserve">3. Explore datasets</w:t>
      </w:r>
    </w:p>
    <w:p>
      <w:pPr>
        <w:pStyle w:val="Compact"/>
        <w:numPr>
          <w:ilvl w:val="0"/>
          <w:numId w:val="1006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bigquery-samples</w:t>
      </w:r>
      <w:r>
        <w:t xml:space="preserve"> </w:t>
      </w:r>
      <w:r>
        <w:t xml:space="preserve">in the Explorer. Each entry under it is a</w:t>
      </w:r>
      <w: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— a collection of tables and views that is secured as a unit and lives in a specific location.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wikipedia_benchmark</w:t>
      </w:r>
      <w:r>
        <w:t xml:space="preserve"> </w:t>
      </w:r>
      <w:r>
        <w:t xml:space="preserve">and read the metadata shown in the right pane.</w:t>
      </w:r>
    </w:p>
    <w:p>
      <w:pPr>
        <w:pStyle w:val="Compact"/>
        <w:numPr>
          <w:ilvl w:val="0"/>
          <w:numId w:val="1006"/>
        </w:numPr>
      </w:pPr>
      <w:r>
        <w:t xml:space="preserve">Click the three-dot menu (⋮) next to a dataset name and note the available actions.</w:t>
      </w:r>
      <w:r>
        <w:t xml:space="preserve"> </w:t>
      </w:r>
      <w:r>
        <w:rPr>
          <w:b/>
          <w:bCs/>
        </w:rPr>
        <w:t xml:space="preserve">This menu is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 table</w:t>
      </w:r>
      <w:r>
        <w:rPr>
          <w:b/>
          <w:bCs/>
        </w:rPr>
        <w:t xml:space="preserve"> </w:t>
      </w:r>
      <w:r>
        <w:rPr>
          <w:b/>
          <w:bCs/>
        </w:rPr>
        <w:t xml:space="preserve">lives</w:t>
      </w:r>
      <w:r>
        <w:t xml:space="preserve"> </w:t>
      </w:r>
      <w:r>
        <w:t xml:space="preserve">— you'll use it at 10:40.</w:t>
      </w:r>
    </w:p>
    <w:bookmarkEnd w:id="17"/>
    <w:bookmarkStart w:id="18" w:name="X206d4b2f66fca2038e5b7208bf76cb6f3366296"/>
    <w:p>
      <w:pPr>
        <w:pStyle w:val="Heading3"/>
      </w:pPr>
      <w:r>
        <w:t xml:space="preserve">4. Create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— required</w:t>
      </w:r>
    </w:p>
    <w:p>
      <w:pPr>
        <w:pStyle w:val="Compact"/>
        <w:numPr>
          <w:ilvl w:val="0"/>
          <w:numId w:val="1007"/>
        </w:numPr>
      </w:pPr>
      <w:r>
        <w:t xml:space="preserve">Click the ⋮ menu next to</w:t>
      </w:r>
      <w:r>
        <w:t xml:space="preserve"> </w:t>
      </w:r>
      <w:r>
        <w:rPr>
          <w:b/>
          <w:bCs/>
        </w:rPr>
        <w:t xml:space="preserve">your own project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dataset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Dataset ID: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— exactly that, lowercase, no spaces. The other defaults are fine for class; note the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shown before you confirm.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dataset</w:t>
      </w:r>
      <w:r>
        <w:t xml:space="preserve">, then expand your project to confirm it appears.</w:t>
      </w:r>
    </w:p>
    <w:p>
      <w:pPr>
        <w:pStyle w:val="FirstParagraph"/>
      </w:pPr>
      <w:r>
        <w:rPr>
          <w:b/>
          <w:bCs/>
        </w:rPr>
        <w:t xml:space="preserve">Do not skip this step.</w:t>
      </w:r>
      <w:r>
        <w:t xml:space="preserve"> </w:t>
      </w:r>
      <w:r>
        <w:t xml:space="preserve">The afternoon loading activities (DIN §24–§27) write into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dataset. If it doesn't exist by 13:45, you'll be creating it while everyone else is loading data.</w:t>
      </w:r>
    </w:p>
    <w:bookmarkEnd w:id="18"/>
    <w:bookmarkStart w:id="19" w:name="Xde2c66ec86042480524eae6241fbc95530fe436"/>
    <w:p>
      <w:pPr>
        <w:pStyle w:val="Heading3"/>
      </w:pPr>
      <w:r>
        <w:t xml:space="preserve">5. Explore tables</w:t>
      </w:r>
    </w:p>
    <w:p>
      <w:pPr>
        <w:pStyle w:val="Compact"/>
        <w:numPr>
          <w:ilvl w:val="0"/>
          <w:numId w:val="1008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bigquery-samples → wikipedia_benchmark</w:t>
      </w:r>
      <w:r>
        <w:t xml:space="preserve"> </w:t>
      </w:r>
      <w:r>
        <w:t xml:space="preserve">and review its tables.</w:t>
      </w:r>
    </w:p>
    <w:p>
      <w:pPr>
        <w:pStyle w:val="Compact"/>
        <w:numPr>
          <w:ilvl w:val="0"/>
          <w:numId w:val="100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100B</w:t>
      </w:r>
      <w:r>
        <w:t xml:space="preserve"> </w:t>
      </w:r>
      <w:r>
        <w:t xml:space="preserve">table — yes, that's 100 billion rows.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tab: column names and types — the same idea as the SSMS columns view or</w:t>
      </w:r>
      <w:r>
        <w:t xml:space="preserve"> </w:t>
      </w:r>
      <w:r>
        <w:rPr>
          <w:rStyle w:val="VerbatimChar"/>
        </w:rPr>
        <w:t xml:space="preserve">sp_help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Details</w:t>
      </w:r>
      <w:r>
        <w:t xml:space="preserve"> </w:t>
      </w:r>
      <w:r>
        <w:t xml:space="preserve">tab: storage size, row count, last-modified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Preview</w:t>
      </w:r>
      <w:r>
        <w:t xml:space="preserve"> </w:t>
      </w:r>
      <w:r>
        <w:t xml:space="preserve">tab: sample rows</w:t>
      </w:r>
      <w:r>
        <w:t xml:space="preserve"> </w:t>
      </w:r>
      <w:r>
        <w:rPr>
          <w:i/>
          <w:iCs/>
        </w:rPr>
        <w:t xml:space="preserve">without running a query</w:t>
      </w:r>
      <w:r>
        <w:t xml:space="preserve"> </w:t>
      </w:r>
      <w:r>
        <w:t xml:space="preserve">— free browsing of a 100-billion-row table.</w:t>
      </w:r>
    </w:p>
    <w:p>
      <w:pPr>
        <w:pStyle w:val="Compact"/>
        <w:numPr>
          <w:ilvl w:val="0"/>
          <w:numId w:val="1008"/>
        </w:numPr>
      </w:pPr>
      <w:r>
        <w:t xml:space="preserve">Open the ⋮ menu next to the table name and note the table-level actions.</w:t>
      </w:r>
    </w:p>
    <w:bookmarkEnd w:id="19"/>
    <w:bookmarkEnd w:id="20"/>
    <w:bookmarkStart w:id="21" w:name="common-gotchas"/>
    <w:p>
      <w:pPr>
        <w:pStyle w:val="Heading2"/>
      </w:pPr>
      <w:r>
        <w:t xml:space="preserve">Common gotchas</w:t>
      </w:r>
    </w:p>
    <w:p>
      <w:pPr>
        <w:pStyle w:val="BlockText"/>
      </w:pPr>
      <w:r>
        <w:rPr>
          <w:b/>
          <w:bCs/>
        </w:rPr>
        <w:t xml:space="preserve">Wrong project selected.</w:t>
      </w:r>
      <w:r>
        <w:t xml:space="preserve"> </w:t>
      </w:r>
      <w:r>
        <w:t xml:space="preserve">The console remembers your last-used project and happily shows it to you. If you "can't see what the instructor sees," check the</w:t>
      </w:r>
      <w:r>
        <w:t xml:space="preserve"> </w:t>
      </w:r>
      <w:r>
        <w:rPr>
          <w:b/>
          <w:bCs/>
        </w:rPr>
        <w:t xml:space="preserve">project picker in the top bar first</w:t>
      </w:r>
      <w:r>
        <w:t xml:space="preserve">. This is the number-one cause of confusion today.</w:t>
      </w:r>
    </w:p>
    <w:p>
      <w:pPr>
        <w:pStyle w:val="BlockText"/>
      </w:pPr>
      <w:r>
        <w:rPr>
          <w:b/>
          <w:bCs/>
        </w:rPr>
        <w:t xml:space="preserve">Starred projects are read-only.</w:t>
      </w:r>
      <w:r>
        <w:t xml:space="preserve"> </w:t>
      </w:r>
      <w:r>
        <w:t xml:space="preserve">You cannot create anything inside</w:t>
      </w:r>
      <w:r>
        <w:t xml:space="preserve"> </w:t>
      </w:r>
      <w:r>
        <w:rPr>
          <w:rStyle w:val="VerbatimChar"/>
        </w:rPr>
        <w:t xml:space="preserve">bigquery-samples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roi-bq-demos</w:t>
      </w:r>
      <w:r>
        <w:t xml:space="preserve"> </w:t>
      </w:r>
      <w:r>
        <w:t xml:space="preserve">— permission errors there are expected. Create things 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project.</w:t>
      </w:r>
    </w:p>
    <w:p>
      <w:pPr>
        <w:pStyle w:val="BlockText"/>
      </w:pPr>
      <w:r>
        <w:rPr>
          <w:b/>
          <w:bCs/>
        </w:rPr>
        <w:t xml:space="preserve">Dataset location is permanent.</w:t>
      </w:r>
      <w:r>
        <w:t xml:space="preserve"> </w:t>
      </w:r>
      <w:r>
        <w:t xml:space="preserve">You choose it at creation and cannot change it afterward — fixing it means recreating or copying the dataset. For class, the default is fine; for your real warehouse, it's an architecture decision.</w:t>
      </w:r>
    </w:p>
    <w:p>
      <w:pPr>
        <w:pStyle w:val="BlockText"/>
      </w:pPr>
      <w:r>
        <w:rPr>
          <w:b/>
          <w:bCs/>
        </w:rPr>
        <w:t xml:space="preserve">The three-dot (⋮) menus hide the actions.</w:t>
      </w:r>
      <w:r>
        <w:t xml:space="preserve"> </w:t>
      </w:r>
      <w:r>
        <w:t xml:space="preserve">Create dataset, Create table, Delete — if you can't find a button, look for the ⋮.</w:t>
      </w:r>
    </w:p>
    <w:p>
      <w:pPr>
        <w:pStyle w:val="BlockText"/>
      </w:pPr>
      <w:r>
        <w:rPr>
          <w:b/>
          <w:bCs/>
        </w:rPr>
        <w:t xml:space="preserve">New dataset not showing?</w:t>
      </w:r>
      <w:r>
        <w:t xml:space="preserve"> </w:t>
      </w:r>
      <w:r>
        <w:t xml:space="preserve">Expand your project node in the Explorer pane, or click the refresh icon at the top of the pane.</w:t>
      </w:r>
    </w:p>
    <w:bookmarkEnd w:id="21"/>
    <w:bookmarkStart w:id="22" w:name="if-you-finish-early"/>
    <w:p>
      <w:pPr>
        <w:pStyle w:val="Heading2"/>
      </w:pPr>
      <w:r>
        <w:t xml:space="preserve">If you finish early</w:t>
      </w:r>
    </w:p>
    <w:p>
      <w:pPr>
        <w:pStyle w:val="Compact"/>
        <w:numPr>
          <w:ilvl w:val="0"/>
          <w:numId w:val="1009"/>
        </w:numPr>
      </w:pPr>
      <w:r>
        <w:t xml:space="preserve">Browse into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, pick any dataset that looks interesting, and open a table's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9"/>
        </w:numPr>
      </w:pPr>
      <w:r>
        <w:t xml:space="preserve">On the 100B table's</w:t>
      </w:r>
      <w:r>
        <w:t xml:space="preserve"> </w:t>
      </w:r>
      <w:r>
        <w:rPr>
          <w:b/>
          <w:bCs/>
        </w:rPr>
        <w:t xml:space="preserve">Details</w:t>
      </w:r>
      <w:r>
        <w:t xml:space="preserve"> </w:t>
      </w:r>
      <w:r>
        <w:t xml:space="preserve">tab, find the exact row count and total size.</w:t>
      </w:r>
    </w:p>
    <w:p>
      <w:pPr>
        <w:pStyle w:val="Compact"/>
        <w:numPr>
          <w:ilvl w:val="0"/>
          <w:numId w:val="1009"/>
        </w:numPr>
      </w:pPr>
      <w:r>
        <w:t xml:space="preserve">Open your own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dataset's ⋮ menu and locate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 </w:t>
      </w:r>
      <w:r>
        <w:t xml:space="preserve">— your next stop at 10:40.</w:t>
      </w:r>
    </w:p>
    <w:bookmarkEnd w:id="22"/>
    <w:bookmarkStart w:id="23" w:name="self-check"/>
    <w:p>
      <w:pPr>
        <w:pStyle w:val="Heading2"/>
      </w:pPr>
      <w:r>
        <w:t xml:space="preserve">Self-check</w:t>
      </w:r>
    </w:p>
    <w:p>
      <w:pPr>
        <w:pStyle w:val="Compact"/>
        <w:numPr>
          <w:ilvl w:val="0"/>
          <w:numId w:val="1010"/>
        </w:numPr>
      </w:pPr>
      <w:r>
        <w:t xml:space="preserve">Three starred projects appear in your Explorer:</w:t>
      </w:r>
      <w:r>
        <w:t xml:space="preserve"> </w:t>
      </w:r>
      <w:r>
        <w:rPr>
          <w:rStyle w:val="VerbatimChar"/>
        </w:rPr>
        <w:t xml:space="preserve">bigquery-samples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roi-bq-demos</w:t>
      </w:r>
    </w:p>
    <w:p>
      <w:pPr>
        <w:pStyle w:val="Compact"/>
        <w:numPr>
          <w:ilvl w:val="0"/>
          <w:numId w:val="1011"/>
        </w:numPr>
      </w:pPr>
      <w:r>
        <w:t xml:space="preserve">Your own project contains a dataset named exactly</w:t>
      </w:r>
      <w:r>
        <w:t xml:space="preserve"> </w:t>
      </w:r>
      <w:r>
        <w:rPr>
          <w:rStyle w:val="VerbatimChar"/>
        </w:rPr>
        <w:t xml:space="preserve">class</w:t>
      </w:r>
    </w:p>
    <w:p>
      <w:pPr>
        <w:pStyle w:val="Compact"/>
        <w:numPr>
          <w:ilvl w:val="0"/>
          <w:numId w:val="1012"/>
        </w:numPr>
      </w:pPr>
      <w:r>
        <w:t xml:space="preserve">You can open the Schema, Details, and Preview tabs on</w:t>
      </w:r>
      <w:r>
        <w:t xml:space="preserve"> </w:t>
      </w:r>
      <w:r>
        <w:rPr>
          <w:rStyle w:val="VerbatimChar"/>
        </w:rPr>
        <w:t xml:space="preserve">bigquery-samples.wikipedia_benchmark.100B</w:t>
      </w:r>
    </w:p>
    <w:p>
      <w:pPr>
        <w:pStyle w:val="Compact"/>
        <w:numPr>
          <w:ilvl w:val="0"/>
          <w:numId w:val="1013"/>
        </w:numPr>
      </w:pPr>
      <w:r>
        <w:t xml:space="preserve">You know where the project picker is, and which project is yours</w:t>
      </w:r>
    </w:p>
    <w:p>
      <w:pPr>
        <w:pStyle w:val="Compact"/>
        <w:numPr>
          <w:ilvl w:val="0"/>
          <w:numId w:val="1014"/>
        </w:numPr>
      </w:pPr>
      <w:r>
        <w:t xml:space="preserve">You found</w:t>
      </w:r>
      <w:r>
        <w:t xml:space="preserve"> </w:t>
      </w:r>
      <w:r>
        <w:rPr>
          <w:b/>
          <w:bCs/>
        </w:rPr>
        <w:t xml:space="preserve">Create table</w:t>
      </w:r>
      <w:r>
        <w:t xml:space="preserve"> </w:t>
      </w:r>
      <w:r>
        <w:t xml:space="preserve">in your dataset's ⋮ menu</w:t>
      </w:r>
    </w:p>
    <w:bookmarkEnd w:id="23"/>
    <w:bookmarkStart w:id="25" w:name="what-this-replaces-in-your-current-stack"/>
    <w:p>
      <w:pPr>
        <w:pStyle w:val="Heading2"/>
      </w:pPr>
      <w:r>
        <w:t xml:space="preserve">What this replaces in your current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do this today</w:t>
            </w:r>
          </w:p>
        </w:tc>
        <w:tc>
          <w:tcPr/>
          <w:p>
            <w:pPr>
              <w:pStyle w:val="Compact"/>
            </w:pPr>
            <w:r>
              <w:t xml:space="preserve">On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SSMS Object Explorer: server → databases → tables</w:t>
            </w:r>
          </w:p>
        </w:tc>
        <w:tc>
          <w:tcPr/>
          <w:p>
            <w:pPr>
              <w:pStyle w:val="Compact"/>
            </w:pPr>
            <w:r>
              <w:t xml:space="preserve">BigQuery Explorer pane: projects → datasets →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servers / browsing another instance</w:t>
            </w:r>
          </w:p>
        </w:tc>
        <w:tc>
          <w:tcPr/>
          <w:p>
            <w:pPr>
              <w:pStyle w:val="Compact"/>
            </w:pPr>
            <w:r>
              <w:t xml:space="preserve">Starred projects — query across projects without copying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DATABASE</w:t>
            </w:r>
            <w:r>
              <w:t xml:space="preserve"> </w:t>
            </w:r>
            <w:r>
              <w:t xml:space="preserve">plus file and filegroup sizing</w:t>
            </w:r>
          </w:p>
        </w:tc>
        <w:tc>
          <w:tcPr/>
          <w:p>
            <w:pPr>
              <w:pStyle w:val="Compact"/>
            </w:pPr>
            <w:r>
              <w:t xml:space="preserve">Create dataset — one dialog, nothing to 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hyperlink r:id="rId24">
        <w:r>
          <w:rPr>
            <w:rStyle w:val="Hyperlink"/>
          </w:rPr>
          <w:t xml:space="preserve">Lab 1 companion — Loading Data into BigQuery</w:t>
        </w:r>
      </w:hyperlink>
    </w:p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04_lab-loading-data-into-bigquery/lab-companion.pdf" TargetMode="External" /><Relationship Type="http://schemas.openxmlformats.org/officeDocument/2006/relationships/hyperlink" Id="rId15" Target="https://cloud.google.com/bigquery/docs/bigquery-web-ui#starring_adding_a_project" TargetMode="External" /><Relationship Type="http://schemas.openxmlformats.org/officeDocument/2006/relationships/hyperlink" Id="rId9" Target="https://roitraining.github.io/gcp-demos/bigquery.html" TargetMode="External" /><Relationship Type="http://schemas.openxmlformats.org/officeDocument/2006/relationships/hyperlink" Id="rId12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04_lab-loading-data-into-bigquery/lab-companion.pdf" TargetMode="External" /><Relationship Type="http://schemas.openxmlformats.org/officeDocument/2006/relationships/hyperlink" Id="rId15" Target="https://cloud.google.com/bigquery/docs/bigquery-web-ui#starring_adding_a_project" TargetMode="External" /><Relationship Type="http://schemas.openxmlformats.org/officeDocument/2006/relationships/hyperlink" Id="rId9" Target="https://roitraining.github.io/gcp-demos/bigquery.html" TargetMode="External" /><Relationship Type="http://schemas.openxmlformats.org/officeDocument/2006/relationships/hyperlink" Id="rId12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