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ab-companion-loading-data-into-bigquery"/>
    <w:p>
      <w:pPr>
        <w:pStyle w:val="Heading1"/>
      </w:pPr>
      <w:r>
        <w:t xml:space="preserve">Lab Companion: Loading Data into BigQuery</w:t>
      </w:r>
    </w:p>
    <w:p>
      <w:pPr>
        <w:pStyle w:val="FirstParagraph"/>
      </w:pPr>
      <w:r>
        <w:t xml:space="preserve">Companion notes for the first lab of Day 1 (10:40–11:10 AM CT). The lab's own step-by-step instructions live in the</w:t>
      </w:r>
      <w:r>
        <w:t xml:space="preserve"> </w:t>
      </w:r>
      <w:hyperlink r:id="rId9">
        <w:r>
          <w:rPr>
            <w:rStyle w:val="Hyperlink"/>
          </w:rPr>
          <w:t xml:space="preserve">Google Skills classroom</w:t>
        </w:r>
      </w:hyperlink>
      <w:r>
        <w:t xml:space="preserve"> </w:t>
      </w:r>
      <w:r>
        <w:t xml:space="preserve">(Course 1, Module 1 lab) — this page adds orientation and gotchas around them, not a second copy of the steps.</w:t>
      </w:r>
    </w:p>
    <w:bookmarkStart w:id="10" w:name="what-youll-do"/>
    <w:p>
      <w:pPr>
        <w:pStyle w:val="Heading2"/>
      </w:pPr>
      <w:r>
        <w:t xml:space="preserve">What you'll do</w:t>
      </w:r>
    </w:p>
    <w:p>
      <w:pPr>
        <w:pStyle w:val="Compact"/>
        <w:numPr>
          <w:ilvl w:val="0"/>
          <w:numId w:val="1001"/>
        </w:numPr>
      </w:pPr>
      <w:r>
        <w:t xml:space="preserve">Load data into BigQuery from various sources</w:t>
      </w:r>
    </w:p>
    <w:p>
      <w:pPr>
        <w:pStyle w:val="Compact"/>
        <w:numPr>
          <w:ilvl w:val="0"/>
          <w:numId w:val="1001"/>
        </w:numPr>
      </w:pPr>
      <w:r>
        <w:t xml:space="preserve">Load using both the Google Cloud console and the</w:t>
      </w:r>
      <w:r>
        <w:t xml:space="preserve"> </w:t>
      </w:r>
      <w:r>
        <w:rPr>
          <w:rStyle w:val="VerbatimChar"/>
        </w:rPr>
        <w:t xml:space="preserve">bq</w:t>
      </w:r>
      <w:r>
        <w:t xml:space="preserve"> </w:t>
      </w:r>
      <w:r>
        <w:t xml:space="preserve">command-line tool</w:t>
      </w:r>
    </w:p>
    <w:p>
      <w:pPr>
        <w:pStyle w:val="Compact"/>
        <w:numPr>
          <w:ilvl w:val="0"/>
          <w:numId w:val="1001"/>
        </w:numPr>
      </w:pPr>
      <w:r>
        <w:t xml:space="preserve">Use DDL to create tables</w:t>
      </w:r>
    </w:p>
    <w:bookmarkEnd w:id="10"/>
    <w:bookmarkStart w:id="11" w:name="why-it-matters-for-your-migration"/>
    <w:p>
      <w:pPr>
        <w:pStyle w:val="Heading2"/>
      </w:pPr>
      <w:r>
        <w:t xml:space="preserve">Why it matters for your migration</w:t>
      </w:r>
    </w:p>
    <w:p>
      <w:pPr>
        <w:pStyle w:val="FirstParagraph"/>
      </w:pPr>
      <w:r>
        <w:t xml:space="preserve">This is the simplest possible version of what your nightly extract jobs do: a file becomes a queryable table. It's the Bronze-landing mechanic for file-based sources, and it's deliberately easy — your first win in an unfamiliar console, not a skills test. By 13:45 you'll have loaded data four more ways, each one closer to how your real migration will run.</w:t>
      </w:r>
    </w:p>
    <w:bookmarkEnd w:id="11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2"/>
        </w:numPr>
      </w:pPr>
      <w:r>
        <w:t xml:space="preserve">The lab is launched from the Skills classroom and the</w:t>
      </w:r>
      <w:r>
        <w:t xml:space="preserve"> </w:t>
      </w:r>
      <w:r>
        <w:rPr>
          <w:b/>
          <w:bCs/>
        </w:rPr>
        <w:t xml:space="preserve">lab timer is running</w:t>
      </w:r>
      <w:r>
        <w:t xml:space="preserve"> </w:t>
      </w:r>
      <w:r>
        <w:t xml:space="preserve">— having the instructions open is not the same as having the lab started.</w:t>
      </w:r>
    </w:p>
    <w:p>
      <w:pPr>
        <w:pStyle w:val="Compact"/>
        <w:numPr>
          <w:ilvl w:val="0"/>
          <w:numId w:val="1003"/>
        </w:numPr>
      </w:pPr>
      <w:r>
        <w:t xml:space="preserve">You're signed in to the console with the</w:t>
      </w:r>
      <w:r>
        <w:t xml:space="preserve"> </w:t>
      </w:r>
      <w:r>
        <w:rPr>
          <w:b/>
          <w:bCs/>
        </w:rPr>
        <w:t xml:space="preserve">lab credentials</w:t>
      </w:r>
      <w:r>
        <w:t xml:space="preserve"> </w:t>
      </w:r>
      <w:r>
        <w:t xml:space="preserve">the classroom gave you, not a personal or organizational account.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project picker</w:t>
      </w:r>
      <w:r>
        <w:t xml:space="preserve"> </w:t>
      </w:r>
      <w:r>
        <w:t xml:space="preserve">in the top bar shows your lab project.</w:t>
      </w:r>
    </w:p>
    <w:p>
      <w:pPr>
        <w:pStyle w:val="Compact"/>
        <w:numPr>
          <w:ilvl w:val="0"/>
          <w:numId w:val="1005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 exists (you created it in the</w:t>
      </w:r>
      <w:r>
        <w:t xml:space="preserve"> </w:t>
      </w:r>
      <w:hyperlink r:id="rId12">
        <w:r>
          <w:rPr>
            <w:rStyle w:val="Hyperlink"/>
          </w:rPr>
          <w:t xml:space="preserve">10:10 console orientation</w:t>
        </w:r>
      </w:hyperlink>
      <w:r>
        <w:t xml:space="preserve">). This lab doesn't strictly require it, but the 13:45 loading block does — if it's missing, create it now: your project's ⋮ menu →</w:t>
      </w:r>
      <w:r>
        <w:t xml:space="preserve"> </w:t>
      </w:r>
      <w:r>
        <w:rPr>
          <w:b/>
          <w:bCs/>
        </w:rPr>
        <w:t xml:space="preserve">Create dataset</w:t>
      </w:r>
      <w:r>
        <w:t xml:space="preserve"> </w:t>
      </w:r>
      <w:r>
        <w:t xml:space="preserve">→ ID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.</w:t>
      </w:r>
    </w:p>
    <w:bookmarkEnd w:id="13"/>
    <w:bookmarkStart w:id="14" w:name="common-gotchas"/>
    <w:p>
      <w:pPr>
        <w:pStyle w:val="Heading2"/>
      </w:pPr>
      <w:r>
        <w:t xml:space="preserve">Common gotchas</w:t>
      </w:r>
    </w:p>
    <w:p>
      <w:pPr>
        <w:pStyle w:val="BlockText"/>
      </w:pPr>
      <w:r>
        <w:rPr>
          <w:b/>
          <w:bCs/>
        </w:rPr>
        <w:t xml:space="preserve">The autodetect-schema checkbox.</w:t>
      </w:r>
      <w:r>
        <w:t xml:space="preserve"> </w:t>
      </w:r>
      <w:r>
        <w:t xml:space="preserve">Miss it — or feed it a file it can't make sense of — and BigQuery builds a table with a single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column holding whole rows. If that happens to you: note it and move on; don't spend lab time fixing it. At 13:45 we reproduce this failure on purpose, and you'll see exactly why it happens and how to load around it.</w:t>
      </w:r>
    </w:p>
    <w:p>
      <w:pPr>
        <w:pStyle w:val="BlockText"/>
      </w:pPr>
      <w:r>
        <w:rPr>
          <w:b/>
          <w:bCs/>
        </w:rPr>
        <w:t xml:space="preserve">"Enable API" prompts.</w:t>
      </w:r>
      <w:r>
        <w:t xml:space="preserve"> </w:t>
      </w:r>
      <w:r>
        <w:t xml:space="preserve">Normal on first use of a service in a fresh lab project. Click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keep moving — don't stop to read the API catalog page.</w:t>
      </w:r>
    </w:p>
    <w:p>
      <w:pPr>
        <w:pStyle w:val="BlockText"/>
      </w:pPr>
      <w:r>
        <w:rPr>
          <w:b/>
          <w:bCs/>
        </w:rPr>
        <w:t xml:space="preserve">Cloud Shell's first open.</w:t>
      </w:r>
      <w:r>
        <w:t xml:space="preserve"> </w:t>
      </w:r>
      <w:r>
        <w:t xml:space="preserve">Expect a few consent / authorize / continue clicks the first time you launch it. One-time per project; later opens are instant.</w:t>
      </w:r>
    </w:p>
    <w:p>
      <w:pPr>
        <w:pStyle w:val="BlockText"/>
      </w:pPr>
      <w:r>
        <w:rPr>
          <w:b/>
          <w:bCs/>
        </w:rPr>
        <w:t xml:space="preserve">Wrong project.</w:t>
      </w:r>
      <w:r>
        <w:t xml:space="preserve"> </w:t>
      </w:r>
      <w:r>
        <w:t xml:space="preserve">The console defaults to the last-used project. If a menu item "doesn't exist," check the picker before anything else.</w:t>
      </w:r>
    </w:p>
    <w:p>
      <w:pPr>
        <w:pStyle w:val="BlockText"/>
      </w:pPr>
      <w:r>
        <w:rPr>
          <w:b/>
          <w:bCs/>
        </w:rPr>
        <w:t xml:space="preserve">Can't find BigQuery?</w:t>
      </w:r>
      <w:r>
        <w:t xml:space="preserve"> </w:t>
      </w:r>
      <w:r>
        <w:t xml:space="preserve">Navigation (hamburger) menu →</w:t>
      </w:r>
      <w:r>
        <w:t xml:space="preserve"> </w:t>
      </w:r>
      <w:r>
        <w:rPr>
          <w:b/>
          <w:bCs/>
        </w:rPr>
        <w:t xml:space="preserve">BigQuery</w:t>
      </w:r>
      <w:r>
        <w:t xml:space="preserve"> </w:t>
      </w:r>
      <w:r>
        <w:t xml:space="preserve">— hover and pin it — or use the search bar.</w:t>
      </w:r>
    </w:p>
    <w:bookmarkEnd w:id="14"/>
    <w:bookmarkStart w:id="16" w:name="if-you-finish-early"/>
    <w:p>
      <w:pPr>
        <w:pStyle w:val="Heading2"/>
      </w:pPr>
      <w:r>
        <w:t xml:space="preserve">If you finish early</w:t>
      </w:r>
    </w:p>
    <w:p>
      <w:pPr>
        <w:pStyle w:val="FirstParagraph"/>
      </w:pPr>
      <w:r>
        <w:t xml:space="preserve">Finishing in 10–12 minutes is expected for people who write SQL all day. Use the extra time on</w:t>
      </w:r>
      <w:r>
        <w:t xml:space="preserve"> </w:t>
      </w:r>
      <w:r>
        <w:rPr>
          <w:b/>
          <w:bCs/>
        </w:rPr>
        <w:t xml:space="preserve">§24 of the</w:t>
      </w:r>
      <w:r>
        <w:rPr>
          <w:b/>
          <w:bCs/>
        </w:rPr>
        <w:t xml:space="preserve"> </w:t>
      </w:r>
      <w:hyperlink r:id="rId15">
        <w:r>
          <w:rPr>
            <w:rStyle w:val="Hyperlink"/>
            <w:b/>
            <w:bCs/>
          </w:rPr>
          <w:t xml:space="preserve">Do-It-Now (DIN) activities page</w:t>
        </w:r>
      </w:hyperlink>
      <w:r>
        <w:t xml:space="preserve">: load a CSV from the public</w:t>
      </w:r>
      <w:r>
        <w:t xml:space="preserve"> </w:t>
      </w:r>
      <w:r>
        <w:rPr>
          <w:rStyle w:val="VerbatimChar"/>
        </w:rPr>
        <w:t xml:space="preserve">jwd-gcp-demos</w:t>
      </w:r>
      <w:r>
        <w:t xml:space="preserve"> </w:t>
      </w:r>
      <w:r>
        <w:t xml:space="preserve">Cloud Storage bucket into</w:t>
      </w:r>
      <w:r>
        <w:t xml:space="preserve"> </w:t>
      </w:r>
      <w:r>
        <w:rPr>
          <w:b/>
          <w:bCs/>
        </w:rPr>
        <w:t xml:space="preserve">your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dataset</w:t>
      </w:r>
      <w:r>
        <w:t xml:space="preserve"> </w:t>
      </w:r>
      <w:r>
        <w:t xml:space="preserve">using the console. That's exactly what the whole group does at 13:45 — you'll be the resident expert.</w:t>
      </w:r>
    </w:p>
    <w:p>
      <w:pPr>
        <w:pStyle w:val="BodyText"/>
      </w:pPr>
      <w:r>
        <w:rPr>
          <w:b/>
          <w:bCs/>
        </w:rPr>
        <w:t xml:space="preserve">Note your load time.</w:t>
      </w:r>
      <w:r>
        <w:t xml:space="preserve"> </w:t>
      </w:r>
      <w:r>
        <w:t xml:space="preserve">It feeds the CSV-vs-Parquet race this afternoon (DIN §26).</w:t>
      </w:r>
    </w:p>
    <w:bookmarkEnd w:id="16"/>
    <w:bookmarkStart w:id="17" w:name="debrief-three-ways-in-same-destination"/>
    <w:p>
      <w:pPr>
        <w:pStyle w:val="Heading2"/>
      </w:pPr>
      <w:r>
        <w:t xml:space="preserve">Debrief: three ways in, same destination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Console click-through</w:t>
      </w:r>
      <w:r>
        <w:t xml:space="preserve"> </w:t>
      </w:r>
      <w:r>
        <w:t xml:space="preserve">— point, click, table. The GUI your one-off imports always wanted.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bq load</w:t>
      </w:r>
      <w:r>
        <w:t xml:space="preserve"> </w:t>
      </w:r>
      <w:r>
        <w:t xml:space="preserve">— the same job from the command line: scriptable, repeatable, the shape of automation.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DDL (</w:t>
      </w:r>
      <w:r>
        <w:rPr>
          <w:rStyle w:val="VerbatimChar"/>
          <w:b/>
          <w:bCs/>
        </w:rPr>
        <w:t xml:space="preserve">CREATE TABLE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 DATA</w:t>
      </w:r>
      <w:r>
        <w:rPr>
          <w:b/>
          <w:bCs/>
        </w:rPr>
        <w:t xml:space="preserve">)</w:t>
      </w:r>
      <w:r>
        <w:t xml:space="preserve"> </w:t>
      </w:r>
      <w:r>
        <w:t xml:space="preserve">— load logic as code, where it can live in source control and ride your CI/CD discipline.</w:t>
      </w:r>
    </w:p>
    <w:p>
      <w:pPr>
        <w:pStyle w:val="FirstParagraph"/>
      </w:pPr>
      <w:r>
        <w:t xml:space="preserve">Your SSIS packages are the fourth way in. Datastream — next hour — is the fifth, and it's the one that kills the nightly extract entirely.</w:t>
      </w:r>
    </w:p>
    <w:bookmarkEnd w:id="17"/>
    <w:bookmarkStart w:id="18" w:name="self-check"/>
    <w:p>
      <w:pPr>
        <w:pStyle w:val="Heading2"/>
      </w:pPr>
      <w:r>
        <w:t xml:space="preserve">Self-check</w:t>
      </w:r>
    </w:p>
    <w:p>
      <w:pPr>
        <w:pStyle w:val="Compact"/>
        <w:numPr>
          <w:ilvl w:val="0"/>
          <w:numId w:val="1007"/>
        </w:numPr>
      </w:pPr>
      <w:r>
        <w:t xml:space="preserve">You loaded at least one table through the console</w:t>
      </w:r>
    </w:p>
    <w:p>
      <w:pPr>
        <w:pStyle w:val="Compact"/>
        <w:numPr>
          <w:ilvl w:val="0"/>
          <w:numId w:val="1008"/>
        </w:numPr>
      </w:pPr>
      <w:r>
        <w:t xml:space="preserve">You ran (or watched run) a</w:t>
      </w:r>
      <w:r>
        <w:t xml:space="preserve"> </w:t>
      </w:r>
      <w:r>
        <w:rPr>
          <w:rStyle w:val="VerbatimChar"/>
        </w:rPr>
        <w:t xml:space="preserve">bq load</w:t>
      </w:r>
      <w:r>
        <w:t xml:space="preserve"> </w:t>
      </w:r>
      <w:r>
        <w:t xml:space="preserve">from Cloud Shell</w:t>
      </w:r>
    </w:p>
    <w:p>
      <w:pPr>
        <w:pStyle w:val="Compact"/>
        <w:numPr>
          <w:ilvl w:val="0"/>
          <w:numId w:val="1009"/>
        </w:numPr>
      </w:pPr>
      <w:r>
        <w:t xml:space="preserve">You created a table with DDL</w:t>
      </w:r>
    </w:p>
    <w:p>
      <w:pPr>
        <w:pStyle w:val="Compact"/>
        <w:numPr>
          <w:ilvl w:val="0"/>
          <w:numId w:val="1010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 still exists — and if you did the early-finisher activity, it now holds a table and you've written down the load time</w:t>
      </w:r>
    </w:p>
    <w:bookmarkEnd w:id="18"/>
    <w:bookmarkStart w:id="19" w:name="what-this-replaces-in-your-current-stack"/>
    <w:p>
      <w:pPr>
        <w:pStyle w:val="Heading2"/>
      </w:pPr>
      <w:r>
        <w:t xml:space="preserve">What this replaces in your current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do this today</w:t>
            </w:r>
          </w:p>
        </w:tc>
        <w:tc>
          <w:tcPr/>
          <w:p>
            <w:pPr>
              <w:pStyle w:val="Compact"/>
            </w:pPr>
            <w:r>
              <w:t xml:space="preserve">On 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Import and Export Wizard / one-off flat-file SSIS package</w:t>
            </w:r>
          </w:p>
        </w:tc>
        <w:tc>
          <w:tcPr/>
          <w:p>
            <w:pPr>
              <w:pStyle w:val="Compact"/>
            </w:pPr>
            <w:r>
              <w:t xml:space="preserve">Console</w:t>
            </w:r>
            <w:r>
              <w:t xml:space="preserve"> </w:t>
            </w:r>
            <w:r>
              <w:rPr>
                <w:b/>
                <w:bCs/>
              </w:rPr>
              <w:t xml:space="preserve">Create table</w:t>
            </w:r>
            <w:r>
              <w:t xml:space="preserve"> </w:t>
            </w:r>
            <w:r>
              <w:t xml:space="preserve">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 /</w:t>
            </w:r>
            <w:r>
              <w:t xml:space="preserve"> </w:t>
            </w:r>
            <w:r>
              <w:rPr>
                <w:rStyle w:val="VerbatimChar"/>
              </w:rPr>
              <w:t xml:space="preserve">BULK INSERT</w:t>
            </w:r>
            <w:r>
              <w:t xml:space="preserve"> </w:t>
            </w:r>
            <w:r>
              <w:t xml:space="preserve">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bq load</w:t>
            </w:r>
            <w:r>
              <w:t xml:space="preserve"> </w:t>
            </w:r>
            <w:r>
              <w:t xml:space="preserve">from Cloud 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 deployment scripts in your CI/CD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 DATA</w:t>
            </w:r>
            <w:r>
              <w:t xml:space="preserve"> </w:t>
            </w:r>
            <w:r>
              <w:t xml:space="preserve">DDL (GoogleSQL)</w:t>
            </w:r>
          </w:p>
        </w:tc>
      </w:tr>
    </w:tbl>
    <w:p>
      <w:pPr>
        <w:pStyle w:val="BodyText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03_activity-console-orientation/activity-guide.pdf" TargetMode="External" /><Relationship Type="http://schemas.openxmlformats.org/officeDocument/2006/relationships/hyperlink" Id="rId15" Target="https://roitraining.github.io/gcp-demos/bigquery.html" TargetMode="External" /><Relationship Type="http://schemas.openxmlformats.org/officeDocument/2006/relationships/hyperlink" Id="rId9" Target="https://www.skills.google/ilt/classrooms/379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03_activity-console-orientation/activity-guide.pdf" TargetMode="External" /><Relationship Type="http://schemas.openxmlformats.org/officeDocument/2006/relationships/hyperlink" Id="rId15" Target="https://roitraining.github.io/gcp-demos/bigquery.html" TargetMode="External" /><Relationship Type="http://schemas.openxmlformats.org/officeDocument/2006/relationships/hyperlink" Id="rId9" Target="https://www.skills.google/ilt/classrooms/379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2026-10-03T16:14:55Z</dcterms:created>
  <dcterms:modified xsi:type="dcterms:W3CDTF">2026-10-03T16:14:55Z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