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6f986d5202b11c979478a04022af618cdfae0c"/>
    <w:p>
      <w:pPr>
        <w:pStyle w:val="Heading1"/>
      </w:pPr>
      <w:r>
        <w:t xml:space="preserve">Module 2 Notes — Data Replication and Migration</w:t>
      </w:r>
    </w:p>
    <w:p>
      <w:pPr>
        <w:pStyle w:val="FirstParagraph"/>
      </w:pPr>
      <w:r>
        <w:t xml:space="preserve">Your notes for the late-morning module on Day 1 (Mon Oct 5, 2026, 11:10–11:50 CT) — the module about killing the nightly extracts. It leads straight into the</w:t>
      </w:r>
      <w:r>
        <w:t xml:space="preserve"> </w:t>
      </w:r>
      <w:hyperlink r:id="rId9">
        <w:r>
          <w:rPr>
            <w:rStyle w:val="Hyperlink"/>
          </w:rPr>
          <w:t xml:space="preserve">Datastream lab</w:t>
        </w:r>
      </w:hyperlink>
      <w:r>
        <w:t xml:space="preserve"> </w:t>
      </w:r>
      <w:r>
        <w:t xml:space="preserve">that starts just before lunch.</w:t>
      </w:r>
    </w:p>
    <w:bookmarkStart w:id="10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Replication is not migration.</w:t>
      </w:r>
      <w:r>
        <w:t xml:space="preserve"> </w:t>
      </w:r>
      <w:r>
        <w:t xml:space="preserve">Migration moves data once; replication keeps a target continuously in sync with a live source. Your project needs both: an initial copy of the warehouse, then a continuous feed of every change after it. Datastream does the two as one operation — backfill first, then a live change stream.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Datastream is change data capture (CDC) as a managed service.</w:t>
      </w:r>
      <w:r>
        <w:t xml:space="preserve"> </w:t>
      </w:r>
      <w:r>
        <w:t xml:space="preserve">Instead of exporting tables on a schedule, it reads the source database's own change log and applies every INSERT, UPDATE, and DELETE to the destination — in your case, BigQuery.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Log-based capture answers the M&amp;O objection.</w:t>
      </w:r>
      <w:r>
        <w:t xml:space="preserve"> </w:t>
      </w:r>
      <w:r>
        <w:t xml:space="preserve">Because Datastream reads the database's transaction/change log, there are</w:t>
      </w:r>
      <w:r>
        <w:t xml:space="preserve"> </w:t>
      </w:r>
      <w:r>
        <w:rPr>
          <w:b/>
          <w:bCs/>
        </w:rPr>
        <w:t xml:space="preserve">no triggers on your tables, no polling queries, and no batch window loading down production</w:t>
      </w:r>
      <w:r>
        <w:t xml:space="preserve">. The source keeps serving its workload; Datastream reads a log the database is already writing.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IS a supported Datastream source.</w:t>
      </w:r>
      <w:r>
        <w:t xml:space="preserve"> </w:t>
      </w:r>
      <w:r>
        <w:t xml:space="preserve">The module deck pictures Oracle, MySQL, and PostgreSQL, but SQL Server is on the supported-source list — self-managed or cloud-hosted. Your SQL Server → BigQuery path is a first-class Datastream scenario, and the next lab is its pilot.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Backfill + continuous changes in one stream.</w:t>
      </w:r>
      <w:r>
        <w:t xml:space="preserve"> </w:t>
      </w:r>
      <w:r>
        <w:t xml:space="preserve">When a stream starts, it copies the existing rows (backfill), then keeps applying changes as they happen. You never re-extract a whole table after the first copy — think about what that means for your largest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Changes arrive with context.</w:t>
      </w:r>
      <w:r>
        <w:t xml:space="preserve"> </w:t>
      </w:r>
      <w:r>
        <w:t xml:space="preserve">Replicated rows carry Datastream metadata such as</w:t>
      </w:r>
      <w:r>
        <w:t xml:space="preserve"> </w:t>
      </w:r>
      <w:r>
        <w:rPr>
          <w:rStyle w:val="VerbatimChar"/>
        </w:rPr>
        <w:t xml:space="preserve">change_type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, so downstream you can tell an insert from an update from a delete — something a nightly truncate-and-reload could never give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extract window disappears.</w:t>
      </w:r>
      <w:r>
        <w:t xml:space="preserve"> </w:t>
      </w:r>
      <w:r>
        <w:t xml:space="preserve">There is no "we can only touch the source between 1 AM and 4 AM" anymore. Replication is always on, and freshness stops being tied to a schedule.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other migration tools you'll see named — one line each:</w:t>
      </w:r>
      <w:r>
        <w:t xml:space="preserve"> </w:t>
      </w:r>
      <w:r>
        <w:t xml:space="preserve">Database Migration Service (DMS) is for one-time database engine migrations, e.g. moving onto Cloud SQL —</w:t>
      </w:r>
      <w:r>
        <w:t xml:space="preserve"> </w:t>
      </w:r>
      <w:r>
        <w:rPr>
          <w:b/>
          <w:bCs/>
        </w:rPr>
        <w:t xml:space="preserve">not your path</w:t>
      </w:r>
      <w:r>
        <w:t xml:space="preserve">. Transfer Appliance ships petabytes of offline data on physical hardware —</w:t>
      </w:r>
      <w:r>
        <w:t xml:space="preserve"> </w:t>
      </w:r>
      <w:r>
        <w:rPr>
          <w:b/>
          <w:bCs/>
        </w:rPr>
        <w:t xml:space="preserve">not your path</w:t>
      </w:r>
      <w:r>
        <w:t xml:space="preserve">. Your path is Datastream → BigQuery.</w:t>
      </w:r>
    </w:p>
    <w:bookmarkEnd w:id="10"/>
    <w:bookmarkStart w:id="11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 today</w:t>
            </w:r>
          </w:p>
        </w:tc>
        <w:tc>
          <w:tcPr/>
          <w:p>
            <w:pPr>
              <w:pStyle w:val="Compact"/>
            </w:pPr>
            <w:r>
              <w:t xml:space="preserve">The GCP world you're moving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extract window (off-hours batch)</w:t>
            </w:r>
          </w:p>
        </w:tc>
        <w:tc>
          <w:tcPr/>
          <w:p>
            <w:pPr>
              <w:pStyle w:val="Compact"/>
            </w:pPr>
            <w:r>
              <w:t xml:space="preserve">Continuous CDC replication — no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 that runs the nightly extract</w:t>
            </w:r>
          </w:p>
        </w:tc>
        <w:tc>
          <w:tcPr/>
          <w:p>
            <w:pPr>
              <w:pStyle w:val="Compact"/>
            </w:pPr>
            <w:r>
              <w:t xml:space="preserve">A Datastream stream — always on, no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extract package writing flat files</w:t>
            </w:r>
          </w:p>
        </w:tc>
        <w:tc>
          <w:tcPr/>
          <w:p>
            <w:pPr>
              <w:pStyle w:val="Compact"/>
            </w:pPr>
            <w:r>
              <w:t xml:space="preserve">Datastream writing change events straight into BigQuery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CDC / change tracking on source tables</w:t>
            </w:r>
          </w:p>
        </w:tc>
        <w:tc>
          <w:tcPr/>
          <w:p>
            <w:pPr>
              <w:pStyle w:val="Compact"/>
            </w:pPr>
            <w:r>
              <w:t xml:space="preserve">Datastream log-based capture at the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 or polling queries for change detection</w:t>
            </w:r>
          </w:p>
        </w:tc>
        <w:tc>
          <w:tcPr/>
          <w:p>
            <w:pPr>
              <w:pStyle w:val="Compact"/>
            </w:pPr>
            <w:r>
              <w:t xml:space="preserve">Not needed — the change log already knows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Truncate-and-reload of staging tables</w:t>
            </w:r>
          </w:p>
        </w:tc>
        <w:tc>
          <w:tcPr/>
          <w:p>
            <w:pPr>
              <w:pStyle w:val="Compact"/>
            </w:pPr>
            <w:r>
              <w:t xml:space="preserve">One-time backfill, then incremental changes 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→ database → schema.table</w:t>
            </w:r>
          </w:p>
        </w:tc>
        <w:tc>
          <w:tcPr/>
          <w:p>
            <w:pPr>
              <w:pStyle w:val="Compact"/>
            </w:pPr>
            <w:r>
              <w:t xml:space="preserve">Project → dataset → table</w:t>
            </w:r>
          </w:p>
        </w:tc>
      </w:tr>
    </w:tbl>
    <w:bookmarkEnd w:id="11"/>
    <w:bookmarkStart w:id="17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Datastream overview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Datastream supported sources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Configure a source SQL Server database for Datastream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Database Migration Service docs</w:t>
        </w:r>
      </w:hyperlink>
      <w:r>
        <w:t xml:space="preserve"> </w:t>
      </w:r>
      <w:r>
        <w:t xml:space="preserve">(one-time engine migrations — not your path)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Transfer Appliance</w:t>
        </w:r>
      </w:hyperlink>
      <w:r>
        <w:t xml:space="preserve"> </w:t>
      </w:r>
      <w:r>
        <w:t xml:space="preserve">(offline petabyte moves — not your path)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6_lab-datastream-postgres-to-bq/lab-companion.pdf" TargetMode="External" /><Relationship Type="http://schemas.openxmlformats.org/officeDocument/2006/relationships/hyperlink" Id="rId15" Target="https://cloud.google.com/database-migration/docs" TargetMode="External" /><Relationship Type="http://schemas.openxmlformats.org/officeDocument/2006/relationships/hyperlink" Id="rId14" Target="https://cloud.google.com/datastream/docs/configure-your-source-sql-server-database" TargetMode="External" /><Relationship Type="http://schemas.openxmlformats.org/officeDocument/2006/relationships/hyperlink" Id="rId12" Target="https://cloud.google.com/datastream/docs/overview" TargetMode="External" /><Relationship Type="http://schemas.openxmlformats.org/officeDocument/2006/relationships/hyperlink" Id="rId13" Target="https://cloud.google.com/datastream/docs/sources" TargetMode="External" /><Relationship Type="http://schemas.openxmlformats.org/officeDocument/2006/relationships/hyperlink" Id="rId16" Target="https://cloud.google.com/transfer-appl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6_lab-datastream-postgres-to-bq/lab-companion.pdf" TargetMode="External" /><Relationship Type="http://schemas.openxmlformats.org/officeDocument/2006/relationships/hyperlink" Id="rId15" Target="https://cloud.google.com/database-migration/docs" TargetMode="External" /><Relationship Type="http://schemas.openxmlformats.org/officeDocument/2006/relationships/hyperlink" Id="rId14" Target="https://cloud.google.com/datastream/docs/configure-your-source-sql-server-database" TargetMode="External" /><Relationship Type="http://schemas.openxmlformats.org/officeDocument/2006/relationships/hyperlink" Id="rId12" Target="https://cloud.google.com/datastream/docs/overview" TargetMode="External" /><Relationship Type="http://schemas.openxmlformats.org/officeDocument/2006/relationships/hyperlink" Id="rId13" Target="https://cloud.google.com/datastream/docs/sources" TargetMode="External" /><Relationship Type="http://schemas.openxmlformats.org/officeDocument/2006/relationships/hyperlink" Id="rId16" Target="https://cloud.google.com/transfer-appl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