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4586e5f52a50ad59bc1585b4bb463f049eccba"/>
    <w:p>
      <w:pPr>
        <w:pStyle w:val="Heading1"/>
      </w:pPr>
      <w:r>
        <w:t xml:space="preserve">Dataform Repo Tour — a Real Silver→Gold Repository</w:t>
      </w:r>
    </w:p>
    <w:p>
      <w:pPr>
        <w:pStyle w:val="FirstParagraph"/>
      </w:pPr>
      <w:r>
        <w:t xml:space="preserve">A guided reading of the public demo repository from the Day 1 walkthrough (3:10–3:25 PM CT):</w:t>
      </w:r>
      <w:r>
        <w:t xml:space="preserve"> </w:t>
      </w:r>
      <w:hyperlink r:id="rId9">
        <w:r>
          <w:rPr>
            <w:rStyle w:val="Hyperlink"/>
          </w:rPr>
          <w:t xml:space="preserve">github.com/jwdavis/dataform-demo</w:t>
        </w:r>
      </w:hyperlink>
      <w:r>
        <w:t xml:space="preserve">. Browse it in your browser — no setup needed. This is what a real Silver→Gold repo looks like; your CI/CD instincts (git, PRs, release configs) all apply.</w:t>
      </w:r>
    </w:p>
    <w:bookmarkStart w:id="10" w:name="what-the-repo-builds"/>
    <w:p>
      <w:pPr>
        <w:pStyle w:val="Heading2"/>
      </w:pPr>
      <w:r>
        <w:t xml:space="preserve">What the repo builds</w:t>
      </w:r>
    </w:p>
    <w:p>
      <w:pPr>
        <w:pStyle w:val="FirstParagraph"/>
      </w:pPr>
      <w:r>
        <w:t xml:space="preserve">A small three-layer medallion in BigQuery — the same shape as your target architecture: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Lands in dataset</w:t>
            </w:r>
          </w:p>
        </w:tc>
        <w:tc>
          <w:tcPr/>
          <w:p>
            <w:pPr>
              <w:pStyle w:val="Compact"/>
            </w:pPr>
            <w:r>
              <w:t xml:space="preserve">Your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(declared)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definitions/customers_declaration.sqlx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orders_declaration.sqlx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products_declaration.sqlx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dataform_demo_raw_data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</w:t>
            </w:r>
            <w:r>
              <w:t xml:space="preserve"> </w:t>
            </w:r>
            <w:r>
              <w:t xml:space="preserve">— landed by Datastream/loads (this morning's 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definitions/staging/stg_customers.sqlx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stg_orders.sqlx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stg_products.sqlx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dataform_demo_staging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  <w:r>
              <w:t xml:space="preserve"> </w:t>
            </w:r>
            <w:r>
              <w:t xml:space="preserve">— cleaned, typed, filtered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definitions/marts/daily_sales.sqlx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customer_metrics.sqlx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product_performance.sqlx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dataform_demo_marts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  <w:r>
              <w:t xml:space="preserve"> </w:t>
            </w:r>
            <w:r>
              <w:t xml:space="preserve">— the marts Power BI points at</w:t>
            </w:r>
          </w:p>
        </w:tc>
      </w:tr>
    </w:tbl>
    <w:p>
      <w:pPr>
        <w:pStyle w:val="BodyText"/>
      </w:pPr>
      <w:r>
        <w:t xml:space="preserve">Nine nodes total in the compiled graph. Bronze to Gold is six small SQL files.</w:t>
      </w:r>
    </w:p>
    <w:bookmarkEnd w:id="10"/>
    <w:bookmarkStart w:id="17" w:name="read-it-in-this-order"/>
    <w:p>
      <w:pPr>
        <w:pStyle w:val="Heading2"/>
      </w:pPr>
      <w:r>
        <w:t xml:space="preserve">Read it in this order</w:t>
      </w:r>
    </w:p>
    <w:bookmarkStart w:id="11" w:name="Xb621a5a28ca114422d0f89399795249656d089d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dataform.json</w:t>
      </w:r>
      <w:r>
        <w:t xml:space="preserve"> </w:t>
      </w:r>
      <w:r>
        <w:t xml:space="preserve">— the project settings</w:t>
      </w:r>
    </w:p>
    <w:p>
      <w:pPr>
        <w:pStyle w:val="FirstParagraph"/>
      </w:pPr>
      <w:r>
        <w:t xml:space="preserve">Verbatim from the repo: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"dataform_demo"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"assertionSchema"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"dataform_assertions"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"&lt;project-id&gt;"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One JSON file says it all: the warehouse is BigQuery, which GCP project to build in (</w:t>
      </w:r>
      <w:r>
        <w:rPr>
          <w:rStyle w:val="VerbatimChar"/>
        </w:rPr>
        <w:t xml:space="preserve">defaultDatabase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&lt;project-id&gt;</w:t>
      </w:r>
      <w:r>
        <w:t xml:space="preserve"> </w:t>
      </w:r>
      <w:r>
        <w:t xml:space="preserve">is a placeholder the repo owner replaced), the default dataset, and where assertion results live. Compare that with forty packages each burying their own connection strings.</w:t>
      </w:r>
    </w:p>
    <w:bookmarkEnd w:id="11"/>
    <w:bookmarkStart w:id="12" w:name="X313fb75d15ed69ae9eee7509717accef9b093e9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includes/constants.js</w:t>
      </w:r>
      <w:r>
        <w:t xml:space="preserve"> </w:t>
      </w:r>
      <w:r>
        <w:t xml:space="preserve">— names in one place</w:t>
      </w:r>
    </w:p>
    <w:p>
      <w:pPr>
        <w:pStyle w:val="FirstParagraph"/>
      </w:pPr>
      <w:r>
        <w:t xml:space="preserve">A short JavaScript file exporting constants: the project ID and the three dataset names (</w:t>
      </w:r>
      <w:r>
        <w:rPr>
          <w:rStyle w:val="VerbatimChar"/>
        </w:rPr>
        <w:t xml:space="preserve">DATASET_RAW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DATASET_MARTS</w:t>
      </w:r>
      <w:r>
        <w:t xml:space="preserve">). Every sqlx file references these constants instead of repeating literals — the same reason you keep environment configuration out of package XML.</w:t>
      </w:r>
    </w:p>
    <w:bookmarkEnd w:id="12"/>
    <w:bookmarkStart w:id="13" w:name="Xbdf5c37f396fc7cd4880bd3029a2688eae706f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definitions/*_declaration.sqlx</w:t>
      </w:r>
      <w:r>
        <w:t xml:space="preserve"> </w:t>
      </w:r>
      <w:r>
        <w:t xml:space="preserve">— Bronze enters the graph</w:t>
      </w:r>
    </w:p>
    <w:p>
      <w:pPr>
        <w:pStyle w:val="FirstParagraph"/>
      </w:pPr>
      <w:r>
        <w:t xml:space="preserve">The raw tables are created and loaded outside Dataform — by Datastream, by scripts, by anything. A declaration tells Dataform "this table exists and is managed elsewhere; let models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it":</w:t>
      </w:r>
    </w:p>
    <w:p>
      <w:pPr>
        <w:pStyle w:val="SourceCode"/>
      </w:pPr>
      <w:r>
        <w:rPr>
          <w:rStyle w:val="CommentTok"/>
        </w:rPr>
        <w:t xml:space="preserve">// definitions/customers_declaration.sqlx</w:t>
      </w:r>
      <w:r>
        <w:br/>
      </w:r>
      <w:r>
        <w:rPr>
          <w:rStyle w:val="NormalTok"/>
        </w:rPr>
        <w:t xml:space="preserve">config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"declaration"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tells Dataform this is an externally managed table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constants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DATASET_RAW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dataset where customers actually lives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 how your Bronze layer — landed by the migration tooling — becomes a first-class node in the dependency graph instead of an invisible upstream assumption.</w:t>
      </w:r>
    </w:p>
    <w:bookmarkEnd w:id="13"/>
    <w:bookmarkStart w:id="14" w:name="Xe39781c3706883fc4de96d74a03b0d86242221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definitions/staging/stg_*.sqlx</w:t>
      </w:r>
      <w:r>
        <w:t xml:space="preserve"> </w:t>
      </w:r>
      <w:r>
        <w:t xml:space="preserve">— Silver</w:t>
      </w:r>
    </w:p>
    <w:p>
      <w:pPr>
        <w:pStyle w:val="FirstParagraph"/>
      </w:pPr>
      <w:r>
        <w:t xml:space="preserve">Each staging file is</w:t>
      </w:r>
      <w:r>
        <w:t xml:space="preserve"> </w:t>
      </w:r>
      <w:r>
        <w:rPr>
          <w:rStyle w:val="VerbatimChar"/>
        </w:rPr>
        <w:t xml:space="preserve">type: "table"</w:t>
      </w:r>
      <w:r>
        <w:t xml:space="preserve"> </w:t>
      </w:r>
      <w:r>
        <w:t xml:space="preserve">plus cleaning SQL you could write in your sleep —</w:t>
      </w:r>
      <w:r>
        <w:t xml:space="preserve"> </w:t>
      </w:r>
      <w:r>
        <w:rPr>
          <w:rStyle w:val="VerbatimChar"/>
        </w:rPr>
        <w:t xml:space="preserve">TRIM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PARSE_DATE</w:t>
      </w:r>
      <w:r>
        <w:t xml:space="preserve">, null filters. The first 14 lines of</w:t>
      </w:r>
      <w:r>
        <w:t xml:space="preserve"> </w:t>
      </w:r>
      <w:r>
        <w:rPr>
          <w:rStyle w:val="VerbatimChar"/>
        </w:rPr>
        <w:t xml:space="preserve">stg_customers.sqlx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filtering null email/name follows in the file):</w:t>
      </w:r>
    </w:p>
    <w:p>
      <w:pPr>
        <w:pStyle w:val="SourceCode"/>
      </w:pPr>
      <w:r>
        <w:rPr>
          <w:rStyle w:val="NormalTok"/>
        </w:rPr>
        <w:t xml:space="preserve">config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: constants.DATASET_STAGING,</w:t>
      </w:r>
      <w:r>
        <w:br/>
      </w:r>
      <w:r>
        <w:rPr>
          <w:rStyle w:val="NormalTok"/>
        </w:rPr>
        <w:t xml:space="preserve">    description: </w:t>
      </w:r>
      <w:r>
        <w:rPr>
          <w:rStyle w:val="OtherTok"/>
        </w:rPr>
        <w:t xml:space="preserve">"Cleaned customer data"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customer_id,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(customer_name)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(email))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email,</w:t>
      </w:r>
      <w:r>
        <w:br/>
      </w:r>
      <w:r>
        <w:rPr>
          <w:rStyle w:val="NormalTok"/>
        </w:rPr>
        <w:t xml:space="preserve">    PARSE_DATE(</w:t>
      </w:r>
      <w:r>
        <w:rPr>
          <w:rStyle w:val="StringTok"/>
        </w:rPr>
        <w:t xml:space="preserve">'%Y-%m-%d'</w:t>
      </w:r>
      <w:r>
        <w:rPr>
          <w:rStyle w:val="NormalTok"/>
        </w:rPr>
        <w:t xml:space="preserve">, registration_date)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registration_date,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(country))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processed_at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"customers"</w:t>
      </w:r>
      <w:r>
        <w:rPr>
          <w:rStyle w:val="NormalTok"/>
        </w:rPr>
        <w:t xml:space="preserve">)}</w:t>
      </w:r>
    </w:p>
    <w:p>
      <w:pPr>
        <w:pStyle w:val="FirstParagraph"/>
      </w:pPr>
      <w:r>
        <w:t xml:space="preserve">The one thing SSIS never gave you:</w:t>
      </w:r>
      <w:r>
        <w:t xml:space="preserve"> </w:t>
      </w:r>
      <w:r>
        <w:rPr>
          <w:rStyle w:val="VerbatimChar"/>
        </w:rPr>
        <w:t xml:space="preserve">${ref("customers")}</w:t>
      </w:r>
      <w:r>
        <w:t xml:space="preserve"> </w:t>
      </w:r>
      <w:r>
        <w:t xml:space="preserve">points at the declared raw table, and from that single function Dataform derives the execution order. No precedence constraints to drag around a designer surface.</w:t>
      </w:r>
    </w:p>
    <w:bookmarkEnd w:id="14"/>
    <w:bookmarkStart w:id="15" w:name="Xbb9d53b04ea959cc22ab03e12918a62266baa09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definitions/marts/*.sqlx</w:t>
      </w:r>
      <w:r>
        <w:t xml:space="preserve"> </w:t>
      </w:r>
      <w:r>
        <w:t xml:space="preserve">— Gold</w:t>
      </w:r>
    </w:p>
    <w:p>
      <w:pPr>
        <w:pStyle w:val="FirstParagraph"/>
      </w:pPr>
      <w:r>
        <w:t xml:space="preserve">The marts are aggregate joins over the staging models:</w:t>
      </w:r>
      <w:r>
        <w:t xml:space="preserve"> </w:t>
      </w:r>
      <w:r>
        <w:rPr>
          <w:rStyle w:val="VerbatimChar"/>
        </w:rPr>
        <w:t xml:space="preserve">daily_sales</w:t>
      </w:r>
      <w:r>
        <w:t xml:space="preserve"> </w:t>
      </w:r>
      <w:r>
        <w:t xml:space="preserve">(orders, revenue, completed/cancelled counts per day),</w:t>
      </w:r>
      <w:r>
        <w:t xml:space="preserve"> </w:t>
      </w:r>
      <w:r>
        <w:rPr>
          <w:rStyle w:val="VerbatimChar"/>
        </w:rPr>
        <w:t xml:space="preserve">customer_metrics</w:t>
      </w:r>
      <w:r>
        <w:t xml:space="preserve"> </w:t>
      </w:r>
      <w:r>
        <w:t xml:space="preserve">(lifetime value, order counts, lifespan per customer),</w:t>
      </w:r>
      <w:r>
        <w:t xml:space="preserve"> </w:t>
      </w:r>
      <w:r>
        <w:rPr>
          <w:rStyle w:val="VerbatimChar"/>
        </w:rPr>
        <w:t xml:space="preserve">product_performance</w:t>
      </w:r>
      <w:r>
        <w:t xml:space="preserve">. Each is</w:t>
      </w:r>
      <w:r>
        <w:t xml:space="preserve"> </w:t>
      </w:r>
      <w:r>
        <w:rPr>
          <w:rStyle w:val="VerbatimChar"/>
        </w:rPr>
        <w:t xml:space="preserve">type: "table"</w:t>
      </w:r>
      <w:r>
        <w:t xml:space="preserve"> </w:t>
      </w:r>
      <w:r>
        <w:t xml:space="preserve">in the marts dataset, selecting from</w:t>
      </w:r>
      <w:r>
        <w:t xml:space="preserve"> </w:t>
      </w:r>
      <w:r>
        <w:rPr>
          <w:rStyle w:val="VerbatimChar"/>
        </w:rPr>
        <w:t xml:space="preserve">${ref("stg_orders")}</w:t>
      </w:r>
      <w:r>
        <w:t xml:space="preserve"> </w:t>
      </w:r>
      <w:r>
        <w:t xml:space="preserve">and friends. This is the layer Power BI will query.</w:t>
      </w:r>
    </w:p>
    <w:bookmarkEnd w:id="15"/>
    <w:bookmarkStart w:id="16" w:name="Xb4baa6aee509e1628c32611844aef2b371edd00"/>
    <w:p>
      <w:pPr>
        <w:pStyle w:val="Heading3"/>
      </w:pPr>
      <w:r>
        <w:t xml:space="preserve">What the repo deliberately does not have: assertions</w:t>
      </w:r>
    </w:p>
    <w:p>
      <w:pPr>
        <w:pStyle w:val="FirstParagraph"/>
      </w:pPr>
      <w:r>
        <w:t xml:space="preserve">The repo ships no assertion files — data-quality tests are something you add. The shape of one, dropped into a staging model's config block (this is the snippet added live in the walkthrough):</w:t>
      </w:r>
    </w:p>
    <w:p>
      <w:pPr>
        <w:pStyle w:val="SourceCode"/>
      </w:pPr>
      <w:r>
        <w:rPr>
          <w:rStyle w:val="NormalTok"/>
        </w:rPr>
        <w:t xml:space="preserve">assertions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uniqueKey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rowConditions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'email IS NOT NULL'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Assertions run with the pipeline and fail the run — the "how do we know the data's good" question, answered where the data is made. You will add one yourself in the lab if you finish early.</w:t>
      </w:r>
    </w:p>
    <w:bookmarkEnd w:id="16"/>
    <w:bookmarkEnd w:id="17"/>
    <w:bookmarkStart w:id="18" w:name="also-in-the-repo"/>
    <w:p>
      <w:pPr>
        <w:pStyle w:val="Heading2"/>
      </w:pPr>
      <w:r>
        <w:t xml:space="preserve">Also in the repo</w:t>
      </w:r>
    </w:p>
    <w:p>
      <w:pPr>
        <w:pStyle w:val="FirstParagraph"/>
      </w:pPr>
      <w:r>
        <w:rPr>
          <w:rStyle w:val="VerbatimChar"/>
        </w:rPr>
        <w:t xml:space="preserve">misc/</w:t>
      </w:r>
      <w:r>
        <w:t xml:space="preserve"> </w:t>
      </w:r>
      <w:r>
        <w:t xml:space="preserve">holds the CSV load scripts and a Terraform configuration that provisions the GCP side (Dataform repository, git connection, service account, datasets). Browse it if you are curious — you do not need to run any of it for class. After class, the repo README walks through forking it and provisioning your own copy with Terraform: a good first exercise for whoever prototypes back home.</w:t>
      </w:r>
    </w:p>
    <w:bookmarkEnd w:id="18"/>
    <w:bookmarkStart w:id="19" w:name="why-this-matters-for-your-migration"/>
    <w:p>
      <w:pPr>
        <w:pStyle w:val="Heading2"/>
      </w:pPr>
      <w:r>
        <w:t xml:space="preserve">Why this matters for your migration</w:t>
      </w:r>
    </w:p>
    <w:p>
      <w:pPr>
        <w:pStyle w:val="Compact"/>
        <w:numPr>
          <w:ilvl w:val="0"/>
          <w:numId w:val="1001"/>
        </w:numPr>
      </w:pPr>
      <w:r>
        <w:t xml:space="preserve">The compiled graph you saw — declarations → staging → marts, edges drawn from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calls —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Silver→Gold pipeline as code. Reviewable in a pull request, versioned in git.</w:t>
      </w:r>
    </w:p>
    <w:p>
      <w:pPr>
        <w:pStyle w:val="Compact"/>
        <w:numPr>
          <w:ilvl w:val="0"/>
          <w:numId w:val="1001"/>
        </w:numPr>
      </w:pPr>
      <w:r>
        <w:t xml:space="preserve">Development workspace = feature branch. Release configuration = your deployment. Scheduled invocation = SQL Agent. The same discipline you run for SQL Server deployments today, applied to SQL in git.</w:t>
      </w:r>
    </w:p>
    <w:p>
      <w:pPr>
        <w:pStyle w:val="Compact"/>
        <w:numPr>
          <w:ilvl w:val="0"/>
          <w:numId w:val="1001"/>
        </w:numPr>
      </w:pPr>
      <w:r>
        <w:t xml:space="preserve">Constants in one file, datasets declared once, execution order derived — nothing to babysit between "merge" and "tables rebuilt."</w:t>
      </w:r>
    </w:p>
    <w:bookmarkEnd w:id="19"/>
    <w:bookmarkStart w:id="20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02"/>
        </w:numPr>
      </w:pPr>
      <w:r>
        <w:t xml:space="preserve">I can explain what</w:t>
      </w:r>
      <w:r>
        <w:t xml:space="preserve"> </w:t>
      </w:r>
      <w:r>
        <w:rPr>
          <w:rStyle w:val="VerbatimChar"/>
        </w:rPr>
        <w:t xml:space="preserve">dataform.json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includes/constants.js</w:t>
      </w:r>
      <w:r>
        <w:t xml:space="preserve"> </w:t>
      </w:r>
      <w:r>
        <w:t xml:space="preserve">each own.</w:t>
      </w:r>
    </w:p>
    <w:p>
      <w:pPr>
        <w:pStyle w:val="Compact"/>
        <w:numPr>
          <w:ilvl w:val="0"/>
          <w:numId w:val="1003"/>
        </w:numPr>
      </w:pPr>
      <w:r>
        <w:t xml:space="preserve">I can explain why the raw tables are</w:t>
      </w:r>
      <w:r>
        <w:t xml:space="preserve"> </w:t>
      </w:r>
      <w:r>
        <w:rPr>
          <w:i/>
          <w:iCs/>
        </w:rPr>
        <w:t xml:space="preserve">declared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created</w:t>
      </w:r>
      <w:r>
        <w:t xml:space="preserve"> </w:t>
      </w:r>
      <w:r>
        <w:t xml:space="preserve">in this repo.</w:t>
      </w:r>
    </w:p>
    <w:p>
      <w:pPr>
        <w:pStyle w:val="Compact"/>
        <w:numPr>
          <w:ilvl w:val="0"/>
          <w:numId w:val="1004"/>
        </w:numPr>
      </w:pPr>
      <w:r>
        <w:t xml:space="preserve">I can trace one path from a declaration to a mart (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stg_customers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customer_metrics</w:t>
      </w:r>
      <w:r>
        <w:t xml:space="preserve">) and name the Bronze/Silver/Gold layer of each node.</w:t>
      </w:r>
    </w:p>
    <w:p>
      <w:pPr>
        <w:pStyle w:val="Compact"/>
        <w:numPr>
          <w:ilvl w:val="0"/>
          <w:numId w:val="1005"/>
        </w:numPr>
      </w:pPr>
      <w:r>
        <w:t xml:space="preserve">I could write an assertion block for "order_id unique, quantity &gt; 0" without looking it up.</w:t>
      </w:r>
    </w:p>
    <w:bookmarkEnd w:id="20"/>
    <w:bookmarkStart w:id="24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Build the same bones yourself in the</w:t>
      </w:r>
      <w:r>
        <w:t xml:space="preserve"> </w:t>
      </w:r>
      <w:hyperlink r:id="rId21">
        <w:r>
          <w:rPr>
            <w:rStyle w:val="Hyperlink"/>
          </w:rPr>
          <w:t xml:space="preserve">Dataform lab</w:t>
        </w:r>
      </w:hyperlink>
      <w:r>
        <w:t xml:space="preserve"> </w:t>
      </w:r>
      <w:r>
        <w:t xml:space="preserve">(3:25–4:05 PM CT): repo, workspace, sqlx, execute.</w:t>
      </w:r>
    </w:p>
    <w:p>
      <w:pPr>
        <w:pStyle w:val="Compact"/>
        <w:numPr>
          <w:ilvl w:val="0"/>
          <w:numId w:val="1006"/>
        </w:numPr>
      </w:pPr>
      <w:r>
        <w:t xml:space="preserve">Docs:</w:t>
      </w:r>
      <w:r>
        <w:t xml:space="preserve"> </w:t>
      </w:r>
      <w:hyperlink r:id="rId22">
        <w:r>
          <w:rPr>
            <w:rStyle w:val="Hyperlink"/>
          </w:rPr>
          <w:t xml:space="preserve">Dataform overview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Assertions</w:t>
        </w:r>
      </w:hyperlink>
    </w:p>
    <w:p>
      <w:pPr>
        <w:pStyle w:val="Compact"/>
        <w:numPr>
          <w:ilvl w:val="0"/>
          <w:numId w:val="1006"/>
        </w:numPr>
      </w:pPr>
      <w:r>
        <w:t xml:space="preserve">Repo:</w:t>
      </w:r>
      <w:r>
        <w:t xml:space="preserve"> </w:t>
      </w:r>
      <w:hyperlink r:id="rId9">
        <w:r>
          <w:rPr>
            <w:rStyle w:val="Hyperlink"/>
          </w:rPr>
          <w:t xml:space="preserve">https://github.com/jwdavis/dataform-demo</w:t>
        </w:r>
      </w:hyperlink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10_lab-dataform-sql-workflow/lab-companion.pdf" TargetMode="External" /><Relationship Type="http://schemas.openxmlformats.org/officeDocument/2006/relationships/hyperlink" Id="rId23" Target="https://cloud.google.com/dataform/docs/assertions" TargetMode="External" /><Relationship Type="http://schemas.openxmlformats.org/officeDocument/2006/relationships/hyperlink" Id="rId22" Target="https://cloud.google.com/dataform/docs/overview" TargetMode="External" /><Relationship Type="http://schemas.openxmlformats.org/officeDocument/2006/relationships/hyperlink" Id="rId9" Target="https://github.com/jwdavis/dataform-dem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10_lab-dataform-sql-workflow/lab-companion.pdf" TargetMode="External" /><Relationship Type="http://schemas.openxmlformats.org/officeDocument/2006/relationships/hyperlink" Id="rId23" Target="https://cloud.google.com/dataform/docs/assertions" TargetMode="External" /><Relationship Type="http://schemas.openxmlformats.org/officeDocument/2006/relationships/hyperlink" Id="rId22" Target="https://cloud.google.com/dataform/docs/overview" TargetMode="External" /><Relationship Type="http://schemas.openxmlformats.org/officeDocument/2006/relationships/hyperlink" Id="rId9" Target="https://github.com/jwdavis/dataform-dem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