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4-student-notes--elt-and-dataform"/>
    <w:p>
      <w:pPr>
        <w:pStyle w:val="Heading1"/>
      </w:pPr>
      <w:r>
        <w:t xml:space="preserve">M4 Student Notes — ELT and Dataform</w:t>
      </w:r>
    </w:p>
    <w:p>
      <w:pPr>
        <w:pStyle w:val="FirstParagraph"/>
      </w:pPr>
      <w:r>
        <w:t xml:space="preserve">Notes for the Day 1 (Mon Oct 5) afternoon module, 2:45–3:10 PM CT: ELT in BigQuery, scheduled queries, and the introduction to Dataform — the tool your migration names for Silver→Gold. Followed by the</w:t>
      </w:r>
      <w:r>
        <w:t xml:space="preserve"> </w:t>
      </w:r>
      <w:hyperlink r:id="rId9">
        <w:r>
          <w:rPr>
            <w:rStyle w:val="Hyperlink"/>
          </w:rPr>
          <w:t xml:space="preserve">demo repo tour</w:t>
        </w:r>
      </w:hyperlink>
      <w:r>
        <w:t xml:space="preserve"> </w:t>
      </w:r>
      <w:r>
        <w:t xml:space="preserve">(3:10–3:25) and the</w:t>
      </w:r>
      <w:r>
        <w:t xml:space="preserve"> </w:t>
      </w:r>
      <w:hyperlink r:id="rId10">
        <w:r>
          <w:rPr>
            <w:rStyle w:val="Hyperlink"/>
          </w:rPr>
          <w:t xml:space="preserve">Dataform anchor lab</w:t>
        </w:r>
      </w:hyperlink>
      <w:r>
        <w:t xml:space="preserve"> </w:t>
      </w:r>
      <w:r>
        <w:t xml:space="preserve">(3:25–4:05).</w:t>
      </w:r>
    </w:p>
    <w:bookmarkStart w:id="11" w:name="elt-vs-etl-in-one-paragraph"/>
    <w:p>
      <w:pPr>
        <w:pStyle w:val="Heading2"/>
      </w:pPr>
      <w:r>
        <w:t xml:space="preserve">ELT vs ETL, in one paragraph</w:t>
      </w:r>
    </w:p>
    <w:p>
      <w:pPr>
        <w:pStyle w:val="FirstParagraph"/>
      </w:pPr>
      <w:r>
        <w:t xml:space="preserve">You already know the trade-off; the only shift in habit is where the transform runs. In ELT you land raw data first and transform where the data lives: BigQuery itself is the transformation engine. Your "transform step" stops being an SSIS data flow moving rows through a server and becomes SQL — plain queries, scripting, or Dataform models — executing inside the warehouse. Load Bronze, then let SQL do Silver and Gold.</w:t>
      </w:r>
    </w:p>
    <w:bookmarkEnd w:id="11"/>
    <w:bookmarkStart w:id="12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BigQuery speaks GoogleSQL</w:t>
      </w:r>
      <w:r>
        <w:t xml:space="preserve"> </w:t>
      </w:r>
      <w:r>
        <w:t xml:space="preserve">(a standard SQL dialect) with scripting, stored procedures, and UDFs. Your T-SQL instincts transfer — variables,</w:t>
      </w:r>
      <w:r>
        <w:t xml:space="preserve"> </w:t>
      </w:r>
      <w:r>
        <w:rPr>
          <w:rStyle w:val="VerbatimChar"/>
        </w:rPr>
        <w:t xml:space="preserve">BEGIN...END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all exist. Watch dialect differences (date functions,</w:t>
      </w:r>
      <w:r>
        <w:t xml:space="preserve"> </w:t>
      </w:r>
      <w:r>
        <w:rPr>
          <w:rStyle w:val="VerbatimChar"/>
        </w:rPr>
        <w:t xml:space="preserve">CREATE TABLE AS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SELECT INTO</w:t>
      </w:r>
      <w:r>
        <w:t xml:space="preserve">) rather than learning new concepts.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Scheduled queries are the SQL Agent instinct, translated.</w:t>
      </w:r>
      <w:r>
        <w:t xml:space="preserve"> </w:t>
      </w:r>
      <w:r>
        <w:t xml:space="preserve">A saved query on a daily schedule writing into a destination table — the day's closing demo shows it in one click.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Dataform manages transformation as code.</w:t>
      </w:r>
      <w:r>
        <w:t xml:space="preserve"> </w:t>
      </w:r>
      <w:r>
        <w:t xml:space="preserve">Each model is a</w:t>
      </w:r>
      <w:r>
        <w:t xml:space="preserve"> </w:t>
      </w:r>
      <w:r>
        <w:rPr>
          <w:rStyle w:val="VerbatimChar"/>
        </w:rPr>
        <w:t xml:space="preserve">.sqlx</w:t>
      </w:r>
      <w:r>
        <w:t xml:space="preserve"> </w:t>
      </w:r>
      <w:r>
        <w:t xml:space="preserve">file: a small config block (what to build — table, view, incremental) plus 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that builds 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ref()</w:t>
      </w:r>
      <w:r>
        <w:rPr>
          <w:b/>
          <w:bCs/>
        </w:rPr>
        <w:t xml:space="preserve"> </w:t>
      </w:r>
      <w:r>
        <w:rPr>
          <w:b/>
          <w:bCs/>
        </w:rPr>
        <w:t xml:space="preserve">replaces hard-coded names.</w:t>
      </w:r>
      <w:r>
        <w:t xml:space="preserve"> </w:t>
      </w:r>
      <w:r>
        <w:t xml:space="preserve">Reference another model as</w:t>
      </w:r>
      <w:r>
        <w:t xml:space="preserve"> </w:t>
      </w:r>
      <w:r>
        <w:rPr>
          <w:rStyle w:val="VerbatimChar"/>
        </w:rPr>
        <w:t xml:space="preserve">${ref("name")}</w:t>
      </w:r>
      <w:r>
        <w:t xml:space="preserve"> </w:t>
      </w:r>
      <w:r>
        <w:t xml:space="preserve">and Dataform derives the dependency graph — no precedence constraints, no manually sequenced package steps.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compiled graph is the pipeline.</w:t>
      </w:r>
      <w:r>
        <w:t xml:space="preserve"> </w:t>
      </w:r>
      <w:r>
        <w:t xml:space="preserve">Dataform compiles your sqlx into a dependency graph, executes it in order, and logs every action. That graph — reviewable in a pull request — is your Silver→Gold pipeline as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Declarations bring Bronze into the graph.</w:t>
      </w:r>
      <w:r>
        <w:t xml:space="preserve"> </w:t>
      </w:r>
      <w:r>
        <w:t xml:space="preserve">Tables landed by something else (Datastream, batch loads) are declared as externally managed sources so staging models can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Assertions are data-quality tests inside the pipeline</w:t>
      </w:r>
      <w:r>
        <w:t xml:space="preserve"> </w:t>
      </w:r>
      <w:r>
        <w:t xml:space="preserve">— uniqueness, non-null, custom row conditions. Think constraints with better ergonomics: they run with the pipeline, fail the run, and show up in execution logs. Your M&amp;O team's "how do we know the load is good" question gets answered where the data is made, not in a morning email.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git model is the one you already run.</w:t>
      </w:r>
      <w:r>
        <w:t xml:space="preserve"> </w:t>
      </w:r>
      <w:r>
        <w:t xml:space="preserve">Development workspace ≈ feature branch; commit/push = code review; release configuration ≈ your deployment; scheduled invocation ≈ the SQL Agent schedule. Your CI/CD discipline for SQL Server deployments applies unchanged.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architecture doc names Dataform for Silver→Gold.</w:t>
      </w:r>
      <w:r>
        <w:t xml:space="preserve"> </w:t>
      </w:r>
      <w:r>
        <w:t xml:space="preserve">Of everything today, this module plus the lab is the part you will use at work first.</w:t>
      </w:r>
    </w:p>
    <w:bookmarkEnd w:id="12"/>
    <w:bookmarkStart w:id="13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your current stack</w:t>
            </w:r>
          </w:p>
        </w:tc>
        <w:tc>
          <w:tcPr/>
          <w:p>
            <w:pPr>
              <w:pStyle w:val="Compact"/>
            </w:pPr>
            <w:r>
              <w:t xml:space="preserve">In this module's GCP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data flow (transform logic)</w:t>
            </w:r>
          </w:p>
        </w:tc>
        <w:tc>
          <w:tcPr/>
          <w:p>
            <w:pPr>
              <w:pStyle w:val="Compact"/>
            </w:pPr>
            <w:r>
              <w:t xml:space="preserve">Dataform</w:t>
            </w:r>
            <w:r>
              <w:t xml:space="preserve"> </w:t>
            </w:r>
            <w:r>
              <w:rPr>
                <w:rStyle w:val="VerbatimChar"/>
              </w:rPr>
              <w:t xml:space="preserve">.sqlx</w:t>
            </w:r>
            <w:r>
              <w:t xml:space="preserve"> </w:t>
            </w:r>
            <w:r>
              <w:t xml:space="preserve">models (SQL + config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schedule</w:t>
            </w:r>
          </w:p>
        </w:tc>
        <w:tc>
          <w:tcPr/>
          <w:p>
            <w:pPr>
              <w:pStyle w:val="Compact"/>
            </w:pPr>
            <w:r>
              <w:t xml:space="preserve">Dataform release config + Cloud Scheduler — or a one-statement scheduled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T-SQL stored procedures</w:t>
            </w:r>
          </w:p>
        </w:tc>
        <w:tc>
          <w:tcPr/>
          <w:p>
            <w:pPr>
              <w:pStyle w:val="Compact"/>
            </w:pPr>
            <w:r>
              <w:t xml:space="preserve">BigQuery scripting / stored procedures (GoogleSQL), or Dataform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data validation after loads</w:t>
            </w:r>
          </w:p>
        </w:tc>
        <w:tc>
          <w:tcPr/>
          <w:p>
            <w:pPr>
              <w:pStyle w:val="Compact"/>
            </w:pPr>
            <w:r>
              <w:t xml:space="preserve">Dataform assertions (run in-pipeline, fail loudly)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proxy / run-as account</w:t>
            </w:r>
          </w:p>
        </w:tc>
        <w:tc>
          <w:tcPr/>
          <w:p>
            <w:pPr>
              <w:pStyle w:val="Compact"/>
            </w:pPr>
            <w:r>
              <w:t xml:space="preserve">Service account the execution runs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→ database → schema.table</w:t>
            </w:r>
          </w:p>
        </w:tc>
        <w:tc>
          <w:tcPr/>
          <w:p>
            <w:pPr>
              <w:pStyle w:val="Compact"/>
            </w:pPr>
            <w:r>
              <w:t xml:space="preserve">Project → dataset → table</w:t>
            </w:r>
          </w:p>
        </w:tc>
      </w:tr>
    </w:tbl>
    <w:bookmarkEnd w:id="13"/>
    <w:bookmarkStart w:id="19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Dataform overview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Test data quality with assertions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Release configurations and scheduling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GoogleSQL procedural language (scripting)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Scheduled queries in BigQuery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10_lab-dataform-sql-workflow/lab-companion.pdf" TargetMode="External" /><Relationship Type="http://schemas.openxmlformats.org/officeDocument/2006/relationships/hyperlink" Id="rId9" Target="dataform-repo-tour.pdf" TargetMode="External" /><Relationship Type="http://schemas.openxmlformats.org/officeDocument/2006/relationships/hyperlink" Id="rId17" Target="https://cloud.google.com/bigquery/docs/reference/standard-sql/scripting" TargetMode="External" /><Relationship Type="http://schemas.openxmlformats.org/officeDocument/2006/relationships/hyperlink" Id="rId18" Target="https://cloud.google.com/bigquery/docs/scheduling-queries" TargetMode="External" /><Relationship Type="http://schemas.openxmlformats.org/officeDocument/2006/relationships/hyperlink" Id="rId15" Target="https://cloud.google.com/dataform/docs/assertions" TargetMode="External" /><Relationship Type="http://schemas.openxmlformats.org/officeDocument/2006/relationships/hyperlink" Id="rId14" Target="https://cloud.google.com/dataform/docs/overview" TargetMode="External" /><Relationship Type="http://schemas.openxmlformats.org/officeDocument/2006/relationships/hyperlink" Id="rId16" Target="https://cloud.google.com/dataform/docs/release-configur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10_lab-dataform-sql-workflow/lab-companion.pdf" TargetMode="External" /><Relationship Type="http://schemas.openxmlformats.org/officeDocument/2006/relationships/hyperlink" Id="rId9" Target="dataform-repo-tour.pdf" TargetMode="External" /><Relationship Type="http://schemas.openxmlformats.org/officeDocument/2006/relationships/hyperlink" Id="rId17" Target="https://cloud.google.com/bigquery/docs/reference/standard-sql/scripting" TargetMode="External" /><Relationship Type="http://schemas.openxmlformats.org/officeDocument/2006/relationships/hyperlink" Id="rId18" Target="https://cloud.google.com/bigquery/docs/scheduling-queries" TargetMode="External" /><Relationship Type="http://schemas.openxmlformats.org/officeDocument/2006/relationships/hyperlink" Id="rId15" Target="https://cloud.google.com/dataform/docs/assertions" TargetMode="External" /><Relationship Type="http://schemas.openxmlformats.org/officeDocument/2006/relationships/hyperlink" Id="rId14" Target="https://cloud.google.com/dataform/docs/overview" TargetMode="External" /><Relationship Type="http://schemas.openxmlformats.org/officeDocument/2006/relationships/hyperlink" Id="rId16" Target="https://cloud.google.com/dataform/docs/release-configur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