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1679bc33fc04324c0ff874bec8b28e94ba3b5e"/>
    <w:p>
      <w:pPr>
        <w:pStyle w:val="Heading1"/>
      </w:pPr>
      <w:r>
        <w:t xml:space="preserve">Lab Companion — Create and Execute a SQL Workflow in Dataform</w:t>
      </w:r>
    </w:p>
    <w:p>
      <w:pPr>
        <w:pStyle w:val="FirstParagraph"/>
      </w:pPr>
      <w:r>
        <w:t xml:space="preserve">The anchor lab of Day 1 (Mon Oct 5, 3:25–4:05 PM CT): you build a working Dataform SQL workflow yourself, right after the demo repo walkthrough. The lab's step-by-step instructions live in the Google Skills classroom — this companion orients you, flags what commonly goes wrong, and connects the lab to your migration. It does not replace the lab instructions.</w:t>
      </w:r>
    </w:p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The lab (</w:t>
      </w:r>
      <w:r>
        <w:rPr>
          <w:b/>
          <w:bCs/>
        </w:rPr>
        <w:t xml:space="preserve">Create and Execute a SQL Workflow in Dataform</w:t>
      </w:r>
      <w:r>
        <w:t xml:space="preserve">, Course 1, Module 4, in the</w:t>
      </w:r>
      <w:r>
        <w:t xml:space="preserve"> </w:t>
      </w:r>
      <w:hyperlink r:id="rId9">
        <w:r>
          <w:rPr>
            <w:rStyle w:val="Hyperlink"/>
          </w:rPr>
          <w:t xml:space="preserve">Skills classroom</w:t>
        </w:r>
      </w:hyperlink>
      <w:r>
        <w:t xml:space="preserve">) has four objectives:</w:t>
      </w:r>
    </w:p>
    <w:p>
      <w:pPr>
        <w:pStyle w:val="Compact"/>
        <w:numPr>
          <w:ilvl w:val="0"/>
          <w:numId w:val="1001"/>
        </w:numPr>
      </w:pPr>
      <w:r>
        <w:t xml:space="preserve">Create a Dataform repository.</w:t>
      </w:r>
    </w:p>
    <w:p>
      <w:pPr>
        <w:pStyle w:val="Compact"/>
        <w:numPr>
          <w:ilvl w:val="0"/>
          <w:numId w:val="1001"/>
        </w:numPr>
      </w:pPr>
      <w:r>
        <w:t xml:space="preserve">Create and initialize a Dataform development workspace.</w:t>
      </w:r>
    </w:p>
    <w:p>
      <w:pPr>
        <w:pStyle w:val="Compact"/>
        <w:numPr>
          <w:ilvl w:val="0"/>
          <w:numId w:val="1001"/>
        </w:numPr>
      </w:pPr>
      <w:r>
        <w:t xml:space="preserve">Create and execute a SQL workflow.</w:t>
      </w:r>
    </w:p>
    <w:p>
      <w:pPr>
        <w:pStyle w:val="Compact"/>
        <w:numPr>
          <w:ilvl w:val="0"/>
          <w:numId w:val="1001"/>
        </w:numPr>
      </w:pPr>
      <w:r>
        <w:t xml:space="preserve">View execution logs in Dataform.</w:t>
      </w:r>
    </w:p>
    <w:bookmarkEnd w:id="10"/>
    <w:bookmarkStart w:id="12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FirstParagraph"/>
      </w:pPr>
      <w:r>
        <w:t xml:space="preserve">Your target architecture names Dataform as the Silver→Gold ELT tool. Everything else today is context; these 40 minutes are the thing you will actually do at work. You have just watched a real raw → staging → marts repository end to end (see the</w:t>
      </w:r>
      <w:r>
        <w:t xml:space="preserve"> </w:t>
      </w:r>
      <w:hyperlink r:id="rId11">
        <w:r>
          <w:rPr>
            <w:rStyle w:val="Hyperlink"/>
          </w:rPr>
          <w:t xml:space="preserve">repo tour</w:t>
        </w:r>
      </w:hyperlink>
      <w:r>
        <w:t xml:space="preserve">); now you build the same bones — repo, workspace, sqlx, execute — with your own hands, in your own lab project.</w:t>
      </w:r>
    </w:p>
    <w:bookmarkEnd w:id="12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t xml:space="preserve">Launch the lab from the</w:t>
      </w:r>
      <w:r>
        <w:t xml:space="preserve"> </w:t>
      </w:r>
      <w:hyperlink r:id="rId9">
        <w:r>
          <w:rPr>
            <w:rStyle w:val="Hyperlink"/>
          </w:rPr>
          <w:t xml:space="preserve">Skills classroom</w:t>
        </w:r>
      </w:hyperlink>
      <w:r>
        <w:t xml:space="preserve">; it provisions your GCP project and credentials. Work in that lab-provided project, not any other you may see.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the project picker</w:t>
      </w:r>
      <w:r>
        <w:t xml:space="preserve"> </w:t>
      </w:r>
      <w:r>
        <w:t xml:space="preserve">at the top of the console every time you sign in — the console loves to default to the wrong project. If lab resources seem "missing," look here first.</w:t>
      </w:r>
    </w:p>
    <w:p>
      <w:pPr>
        <w:pStyle w:val="Compact"/>
        <w:numPr>
          <w:ilvl w:val="0"/>
          <w:numId w:val="1002"/>
        </w:numPr>
      </w:pPr>
      <w:r>
        <w:t xml:space="preserve">Dataform lives inside the BigQuery console (BigQuery Studio → Dataform). Console navigation shifts occasionally; if the menu has moved, search "Dataform" in the console search bar.</w:t>
      </w:r>
    </w:p>
    <w:p>
      <w:pPr>
        <w:pStyle w:val="Compact"/>
        <w:numPr>
          <w:ilvl w:val="0"/>
          <w:numId w:val="1002"/>
        </w:numPr>
      </w:pPr>
      <w:r>
        <w:t xml:space="preserve">If the console prompts you to</w:t>
      </w:r>
      <w:r>
        <w:t xml:space="preserve"> </w:t>
      </w:r>
      <w:r>
        <w:rPr>
          <w:b/>
          <w:bCs/>
        </w:rPr>
        <w:t xml:space="preserve">enable an API</w:t>
      </w:r>
      <w:r>
        <w:t xml:space="preserve"> </w:t>
      </w:r>
      <w:r>
        <w:t xml:space="preserve">(BigQuery, Dataform), click Enable — that is normal on a fresh project.</w:t>
      </w:r>
    </w:p>
    <w:p>
      <w:pPr>
        <w:pStyle w:val="Compact"/>
        <w:numPr>
          <w:ilvl w:val="0"/>
          <w:numId w:val="1002"/>
        </w:numPr>
      </w:pPr>
      <w:r>
        <w:t xml:space="preserve">When the lab asks for a</w:t>
      </w:r>
      <w:r>
        <w:t xml:space="preserve"> </w:t>
      </w:r>
      <w:r>
        <w:rPr>
          <w:b/>
          <w:bCs/>
        </w:rPr>
        <w:t xml:space="preserve">region</w:t>
      </w:r>
      <w:r>
        <w:t xml:space="preserve">, use the one the lab specifies and use it consistently. A repository in one region and datasets in another surfaces later as empty executions and confusing errors.</w:t>
      </w:r>
    </w:p>
    <w:bookmarkEnd w:id="13"/>
    <w:bookmarkStart w:id="14" w:name="what-youll-build"/>
    <w:p>
      <w:pPr>
        <w:pStyle w:val="Heading2"/>
      </w:pPr>
      <w:r>
        <w:t xml:space="preserve">What you'll build</w:t>
      </w:r>
    </w:p>
    <w:p>
      <w:pPr>
        <w:pStyle w:val="FirstParagraph"/>
      </w:pPr>
      <w:r>
        <w:t xml:space="preserve">The arc, so the clicks make sense: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staging view</w:t>
      </w:r>
      <w:r>
        <w:t xml:space="preserve"> </w:t>
      </w:r>
      <w:r>
        <w:t xml:space="preserve">over the source data — Silver-layer cleaning logic.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mart table</w:t>
      </w:r>
      <w:r>
        <w:t xml:space="preserve"> </w:t>
      </w:r>
      <w:r>
        <w:t xml:space="preserve">that references it with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— a Gold-layer aggregate.</w:t>
      </w:r>
    </w:p>
    <w:p>
      <w:pPr>
        <w:pStyle w:val="Compact"/>
        <w:numPr>
          <w:ilvl w:val="0"/>
          <w:numId w:val="1003"/>
        </w:numPr>
      </w:pPr>
      <w:r>
        <w:t xml:space="preserve">Dataform</w:t>
      </w:r>
      <w:r>
        <w:t xml:space="preserve"> </w:t>
      </w:r>
      <w:r>
        <w:rPr>
          <w:b/>
          <w:bCs/>
        </w:rPr>
        <w:t xml:space="preserve">compiles the dependency graph</w:t>
      </w:r>
      <w:r>
        <w:t xml:space="preserve"> </w:t>
      </w:r>
      <w:r>
        <w:t xml:space="preserve">from your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calls — watch for it.</w:t>
      </w:r>
    </w:p>
    <w:p>
      <w:pPr>
        <w:pStyle w:val="Compact"/>
        <w:numPr>
          <w:ilvl w:val="0"/>
          <w:numId w:val="1003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execute the workflow</w:t>
      </w:r>
      <w:r>
        <w:t xml:space="preserve"> </w:t>
      </w:r>
      <w:r>
        <w:t xml:space="preserve">and read the logs — Dataform runs the actions in dependency order and records each one.</w:t>
      </w:r>
    </w:p>
    <w:p>
      <w:pPr>
        <w:pStyle w:val="FirstParagraph"/>
      </w:pPr>
      <w:r>
        <w:t xml:space="preserve">Staging view → mart table → graph → run. The same skeleton as the walkthrough repo, smaller.</w:t>
      </w:r>
    </w:p>
    <w:bookmarkEnd w:id="14"/>
    <w:bookmarkStart w:id="15" w:name="while-you-work--pointers"/>
    <w:p>
      <w:pPr>
        <w:pStyle w:val="Heading2"/>
      </w:pPr>
      <w:r>
        <w:t xml:space="preserve">While you work — pointers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compiled graph</w:t>
      </w:r>
      <w:r>
        <w:t xml:space="preserve"> </w:t>
      </w:r>
      <w:r>
        <w:t xml:space="preserve">is a tab inside your development workspace. It lags a beat after you edit a sqlx file — if a new model does not appear, wait a few seconds before assuming the file did not save.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Executing is not committing.</w:t>
      </w:r>
      <w:r>
        <w:t xml:space="preserve"> </w:t>
      </w:r>
      <w:r>
        <w:t xml:space="preserve">Running the workflow builds tables and views in BigQuery. Committing versions the code in git. Neither one is a deployment — at work, deployment is a release configuration running off the repo (the 4:05 PM automation block shows the trigger).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 logs</w:t>
      </w:r>
      <w:r>
        <w:t xml:space="preserve"> </w:t>
      </w:r>
      <w:r>
        <w:t xml:space="preserve">show each action's status, duration, and the exact compiled SQL BigQuery ran. When something turns red, that log is the first place to look — same instinct as opening the SQL Agent job history.</w:t>
      </w:r>
    </w:p>
    <w:bookmarkEnd w:id="15"/>
    <w:bookmarkStart w:id="16" w:name="for-the-cicd-minded"/>
    <w:p>
      <w:pPr>
        <w:pStyle w:val="Heading2"/>
      </w:pPr>
      <w:r>
        <w:t xml:space="preserve">For the CI/CD-minded</w:t>
      </w:r>
    </w:p>
    <w:p>
      <w:pPr>
        <w:pStyle w:val="FirstParagraph"/>
      </w:pPr>
      <w:r>
        <w:t xml:space="preserve">This lab tends to trigger the sharpest questions of the day from teams that already run deployment pipelines. Short answers, so you can keep building: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"Is a workspace a branch?"</w:t>
      </w:r>
      <w:r>
        <w:t xml:space="preserve"> </w:t>
      </w:r>
      <w:r>
        <w:t xml:space="preserve">Effectively, yes: an isolated development copy of the repo, backed by git — your feature branch. You commit and push changes; releases run off the repository, not off your workspace.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"Where is the git remote?"</w:t>
      </w:r>
      <w:r>
        <w:t xml:space="preserve"> </w:t>
      </w:r>
      <w:r>
        <w:t xml:space="preserve">The lab's repository starts as local git. The walkthrough repo is connected to GitHub — which is exactly what you would do at 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"Can two people edit at once?"</w:t>
      </w:r>
      <w:r>
        <w:t xml:space="preserve"> </w:t>
      </w:r>
      <w:r>
        <w:t xml:space="preserve">Separate development workspaces, merged through git — the same answer as your current shop.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"How does this get to prod?"</w:t>
      </w:r>
      <w:r>
        <w:t xml:space="preserve"> </w:t>
      </w:r>
      <w:r>
        <w:t xml:space="preserve">Release configurations (a git commit-ish compiled into a result) plus scheduled workflow invocations. Your deployment pipeline, translated — Dataform slots into the discipline you already have; it does not ask you to abandon it.</w:t>
      </w:r>
    </w:p>
    <w:bookmarkEnd w:id="16"/>
    <w:bookmarkStart w:id="17" w:name="common-gotchas"/>
    <w:p>
      <w:pPr>
        <w:pStyle w:val="Heading2"/>
      </w:pPr>
      <w:r>
        <w:t xml:space="preserve">Common gotchas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Workspace looks empty or "broken":</w:t>
      </w:r>
      <w:r>
        <w:t xml:space="preserve"> </w:t>
      </w:r>
      <w:r>
        <w:t xml:space="preserve">you missed the</w:t>
      </w:r>
      <w:r>
        <w:t xml:space="preserve"> </w:t>
      </w:r>
      <w:r>
        <w:rPr>
          <w:b/>
          <w:bCs/>
        </w:rPr>
        <w:t xml:space="preserve">Initialize workspace</w:t>
      </w:r>
      <w:r>
        <w:t xml:space="preserve"> </w:t>
      </w:r>
      <w:r>
        <w:t xml:space="preserve">button. This is the number-one stall in this lab — the workspace shows no files until you initialize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Region mismatch</w:t>
      </w:r>
      <w:r>
        <w:t xml:space="preserve"> </w:t>
      </w:r>
      <w:r>
        <w:t xml:space="preserve">at repository creation → executions appear to run but results look empty or land somewhere unexpected. Fix: recreate the repository in the correct region.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IAM error on execution:</w:t>
      </w:r>
      <w:r>
        <w:t xml:space="preserve"> </w:t>
      </w:r>
      <w:r>
        <w:t xml:space="preserve">executions run as a service account; if it lacks BigQuery permissions the run fails with a permissions error. Flag the instructor rather than burning ten minutes on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"My edit didn't take":</w:t>
      </w:r>
      <w:r>
        <w:t xml:space="preserve"> </w:t>
      </w:r>
      <w:r>
        <w:t xml:space="preserve">compiled-graph lag. Confirm the file saved, give the graph a few seconds, then reload.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Everything looks missing:</w:t>
      </w:r>
      <w:r>
        <w:t xml:space="preserve"> </w:t>
      </w:r>
      <w:r>
        <w:t xml:space="preserve">the project picker. It is always the project picker.</w:t>
      </w:r>
    </w:p>
    <w:bookmarkEnd w:id="17"/>
    <w:bookmarkStart w:id="18" w:name="if-you-finish-early"/>
    <w:p>
      <w:pPr>
        <w:pStyle w:val="Heading2"/>
      </w:pPr>
      <w:r>
        <w:t xml:space="preserve">If you finish early</w:t>
      </w:r>
    </w:p>
    <w:p>
      <w:pPr>
        <w:pStyle w:val="FirstParagraph"/>
      </w:pPr>
      <w:r>
        <w:t xml:space="preserve">Expect to — SQL people fly through this lab. In rough order of value: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an assertion</w:t>
      </w:r>
      <w:r>
        <w:t xml:space="preserve"> </w:t>
      </w:r>
      <w:r>
        <w:t xml:space="preserve">to one model — a</w:t>
      </w:r>
      <w:r>
        <w:t xml:space="preserve"> </w:t>
      </w:r>
      <w:r>
        <w:rPr>
          <w:rStyle w:val="VerbatimChar"/>
        </w:rPr>
        <w:t xml:space="preserve">uniqueKey</w:t>
      </w:r>
      <w:r>
        <w:t xml:space="preserve"> </w:t>
      </w:r>
      <w:r>
        <w:t xml:space="preserve">or a non-null</w:t>
      </w:r>
      <w:r>
        <w:t xml:space="preserve"> </w:t>
      </w:r>
      <w:r>
        <w:rPr>
          <w:rStyle w:val="VerbatimChar"/>
        </w:rPr>
        <w:t xml:space="preserve">rowConditions</w:t>
      </w:r>
      <w:r>
        <w:t xml:space="preserve"> </w:t>
      </w:r>
      <w:r>
        <w:t xml:space="preserve">check — and re-run. Watch it appear as a node in the compiled graph and as a result in the execution logs. (A few lines of config; the</w:t>
      </w:r>
      <w:r>
        <w:t xml:space="preserve"> </w:t>
      </w:r>
      <w:hyperlink r:id="rId11">
        <w:r>
          <w:rPr>
            <w:rStyle w:val="Hyperlink"/>
          </w:rPr>
          <w:t xml:space="preserve">repo tour</w:t>
        </w:r>
      </w:hyperlink>
      <w:r>
        <w:t xml:space="preserve"> </w:t>
      </w:r>
      <w:r>
        <w:t xml:space="preserve">shows the exact shape.)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Flip a model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type: "incremental"</w:t>
      </w:r>
      <w:r>
        <w:t xml:space="preserve"> </w:t>
      </w:r>
      <w:r>
        <w:t xml:space="preserve">and reason about when you would use it — think of your largest source table from this morning's sizing discussion.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Interrogate the compiled graph:</w:t>
      </w:r>
      <w:r>
        <w:t xml:space="preserve"> </w:t>
      </w:r>
      <w:r>
        <w:t xml:space="preserve">find the mart you just made. What depends on it? What does it depend on? That answer is what your code review will look like at work.</w:t>
      </w:r>
    </w:p>
    <w:bookmarkEnd w:id="18"/>
    <w:bookmarkStart w:id="19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8"/>
        </w:numPr>
      </w:pPr>
      <w:r>
        <w:t xml:space="preserve">Dataform repository created — in the lab project, in the region the lab specified.</w:t>
      </w:r>
    </w:p>
    <w:p>
      <w:pPr>
        <w:pStyle w:val="Compact"/>
        <w:numPr>
          <w:ilvl w:val="0"/>
          <w:numId w:val="1009"/>
        </w:numPr>
      </w:pPr>
      <w:r>
        <w:t xml:space="preserve">Development workspace created</w:t>
      </w:r>
      <w:r>
        <w:t xml:space="preserve"> </w:t>
      </w:r>
      <w:r>
        <w:rPr>
          <w:b/>
          <w:bCs/>
        </w:rPr>
        <w:t xml:space="preserve">and initialized</w:t>
      </w:r>
      <w:r>
        <w:t xml:space="preserve"> </w:t>
      </w:r>
      <w:r>
        <w:t xml:space="preserve">(files visible).</w:t>
      </w:r>
    </w:p>
    <w:p>
      <w:pPr>
        <w:pStyle w:val="Compact"/>
        <w:numPr>
          <w:ilvl w:val="0"/>
          <w:numId w:val="1010"/>
        </w:numPr>
      </w:pPr>
      <w:r>
        <w:t xml:space="preserve">Staging view and mart table defined in sqlx, wired together with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Workflow executed successfully — all actions green.</w:t>
      </w:r>
    </w:p>
    <w:p>
      <w:pPr>
        <w:pStyle w:val="Compact"/>
        <w:numPr>
          <w:ilvl w:val="0"/>
          <w:numId w:val="1012"/>
        </w:numPr>
      </w:pPr>
      <w:r>
        <w:t xml:space="preserve">Execution logs opened and read, including the compiled SQL.</w:t>
      </w:r>
    </w:p>
    <w:p>
      <w:pPr>
        <w:pStyle w:val="Compact"/>
        <w:numPr>
          <w:ilvl w:val="0"/>
          <w:numId w:val="1013"/>
        </w:numPr>
      </w:pPr>
      <w:r>
        <w:t xml:space="preserve">Compiled graph located and explored.</w:t>
      </w:r>
    </w:p>
    <w:p>
      <w:pPr>
        <w:pStyle w:val="Compact"/>
        <w:numPr>
          <w:ilvl w:val="0"/>
          <w:numId w:val="1014"/>
        </w:numPr>
      </w:pPr>
      <w:r>
        <w:t xml:space="preserve">Stretch: assertion added and observed in a run.</w:t>
      </w:r>
    </w:p>
    <w:bookmarkEnd w:id="19"/>
    <w:bookmarkStart w:id="20" w:name="what-this-replaces-in-your-current-stack"/>
    <w:p>
      <w:pPr>
        <w:pStyle w:val="Heading2"/>
      </w:pPr>
      <w:r>
        <w:t xml:space="preserve">What this replaces in your current stack</w:t>
      </w:r>
    </w:p>
    <w:p>
      <w:pPr>
        <w:pStyle w:val="FirstParagraph"/>
      </w:pPr>
      <w:r>
        <w:t xml:space="preserve">The hand-sequenced transform packages, the "run these three stored procedures in order" SQL Agent steps, and the morning-after manual validation queries. You keep: SQL, git, code review, scheduled deployments. You lose: the designer surface, the shared scheduler box, and validation that lives outside the pipeline.</w:t>
      </w:r>
    </w:p>
    <w:p>
      <w:pPr>
        <w:pStyle w:val="BodyText"/>
      </w:pPr>
      <w:r>
        <w:rPr>
          <w:b/>
          <w:bCs/>
        </w:rPr>
        <w:t xml:space="preserve">Debrief, in one sentence:</w:t>
      </w:r>
      <w:r>
        <w:t xml:space="preserve"> </w:t>
      </w:r>
      <w:r>
        <w:t xml:space="preserve">you just did ELT the way your target architecture will do it — SQL models in git, compiled into a dependency graph, executed in order, tested where the data is made.</w:t>
      </w:r>
    </w:p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09_m4-elt-and-dataform/dataform-repo-tour.pdf" TargetMode="External" /><Relationship Type="http://schemas.openxmlformats.org/officeDocument/2006/relationships/hyperlink" Id="rId9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09_m4-elt-and-dataform/dataform-repo-tour.pdf" TargetMode="External" /><Relationship Type="http://schemas.openxmlformats.org/officeDocument/2006/relationships/hyperlink" Id="rId9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