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051c31a342e103fff3b1df0339f83d02d15ec12"/>
    <w:p>
      <w:pPr>
        <w:pStyle w:val="Heading1"/>
      </w:pPr>
      <w:r>
        <w:t xml:space="preserve">Day 2 warm-up quiz — "Which GCP tool replaces which piece of your stack?"</w:t>
      </w:r>
    </w:p>
    <w:p>
      <w:pPr>
        <w:pStyle w:val="FirstParagraph"/>
      </w:pPr>
      <w:r>
        <w:t xml:space="preserve">Day 2 (Tue Oct 6), 09:00–09:15. A no-stakes group warm-up: before the lakehouse modules start, prove that Day 1 stuck — in your own vocabulary.</w:t>
      </w:r>
    </w:p>
    <w:bookmarkStart w:id="9" w:name="how-it-works"/>
    <w:p>
      <w:pPr>
        <w:pStyle w:val="Heading2"/>
      </w:pPr>
      <w:r>
        <w:t xml:space="preserve">How it works</w:t>
      </w:r>
    </w:p>
    <w:p>
      <w:pPr>
        <w:pStyle w:val="FirstParagraph"/>
      </w:pPr>
      <w:r>
        <w:t xml:space="preserve">Your instructor reads each question aloud. Confer with your table for about 30 seconds, then someone answers for the group. Nothing is scored and there are no trick questions — the point is retrieval practice: naming, out loud, what each piece of your current SQL Server stack becomes on Google Cloud. Jot your answers down as you go; the key is at the bottom (no peeking).</w:t>
      </w:r>
    </w:p>
    <w:bookmarkEnd w:id="9"/>
    <w:bookmarkStart w:id="10" w:name="the-questions"/>
    <w:p>
      <w:pPr>
        <w:pStyle w:val="Heading2"/>
      </w:pPr>
      <w:r>
        <w:t xml:space="preserve">The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nightly extract jobs</w:t>
      </w:r>
      <w:r>
        <w:t xml:space="preserve"> </w:t>
      </w:r>
      <w:r>
        <w:t xml:space="preserve">— the SQL Server Agent tasks that dump tables to files or stage them to another server. Which GCP service replaces them for ongoing database replication?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Server Agent</w:t>
      </w:r>
      <w:r>
        <w:t xml:space="preserve"> </w:t>
      </w:r>
      <w:r>
        <w:t xml:space="preserve">— the scheduler that fires your jobs at 2 AM. What's the GCP equivalent?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SSIS</w:t>
      </w:r>
      <w:r>
        <w:t xml:space="preserve"> </w:t>
      </w:r>
      <w:r>
        <w:t xml:space="preserve">— your extract-transform-load packages. What replaces it on GCP?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staging file drops</w:t>
      </w:r>
      <w:r>
        <w:t xml:space="preserve"> </w:t>
      </w:r>
      <w:r>
        <w:t xml:space="preserve">— CSVs arriving from counties and vendors. Where do they land first in the target design, and what loads them?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linked servers and cross-database queries.</w:t>
      </w:r>
      <w:r>
        <w:t xml:space="preserve"> </w:t>
      </w:r>
      <w:r>
        <w:t xml:space="preserve">What's the BigQuery way to query data that lives somewhere else?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T-SQL stored procedures and deployment scripts</w:t>
      </w:r>
      <w:r>
        <w:t xml:space="preserve"> </w:t>
      </w:r>
      <w:r>
        <w:t xml:space="preserve">that build reporting tables. Where does that discipline live in the target?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SSAS cubes / pre-aggregated reporting tables.</w:t>
      </w:r>
      <w:r>
        <w:t xml:space="preserve"> </w:t>
      </w:r>
      <w:r>
        <w:t xml:space="preserve">What's the BigQuery analogue?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Yesterday's race:</w:t>
      </w:r>
      <w:r>
        <w:t xml:space="preserve"> </w:t>
      </w:r>
      <w:r>
        <w:t xml:space="preserve">the 60-million-row file that took ~2 minutes to load as CSV and seconds as Parquet. What was the lesson?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 pays when a query runs,</w:t>
      </w:r>
      <w:r>
        <w:t xml:space="preserve"> </w:t>
      </w:r>
      <w:r>
        <w:t xml:space="preserve">and what does a query actually bill 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Bronze, Silver, Gold</w:t>
      </w:r>
      <w:r>
        <w:t xml:space="preserve"> </w:t>
      </w:r>
      <w:r>
        <w:t xml:space="preserve">— in one sentence each, what are they in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target design?</w:t>
      </w:r>
    </w:p>
    <w:p>
      <w:r>
        <w:pict>
          <v:rect style="width:0;height:1.5pt" o:hralign="center" o:hrstd="t" o:hr="t"/>
        </w:pict>
      </w:r>
    </w:p>
    <w:bookmarkEnd w:id="10"/>
    <w:bookmarkStart w:id="13" w:name="answers"/>
    <w:p>
      <w:pPr>
        <w:pStyle w:val="Heading2"/>
      </w:pPr>
      <w:r>
        <w:t xml:space="preserve">Answers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Datastream</w:t>
      </w:r>
      <w:r>
        <w:t xml:space="preserve"> </w:t>
      </w:r>
      <w:r>
        <w:t xml:space="preserve">— change data capture (CDC) that streams database changes into BigQuery continuously: log-based, no triggers, no production load. That's why it beats your nightly window — yesterday, a row changed in the source while we ate lunch, with no extract job at all. (BigQuery Data Transfer Service is the right answer only for</w:t>
      </w:r>
      <w:r>
        <w:t xml:space="preserve"> </w:t>
      </w:r>
      <w:r>
        <w:rPr>
          <w:i/>
          <w:iCs/>
        </w:rPr>
        <w:t xml:space="preserve">file/SaaS</w:t>
      </w:r>
      <w:r>
        <w:t xml:space="preserve"> </w:t>
      </w:r>
      <w:r>
        <w:t xml:space="preserve">sources, not database CDC.)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 Scheduler</w:t>
      </w:r>
      <w:r>
        <w:t xml:space="preserve"> </w:t>
      </w:r>
      <w:r>
        <w:t xml:space="preserve">— plus</w:t>
      </w:r>
      <w:r>
        <w:t xml:space="preserve"> </w:t>
      </w:r>
      <w:r>
        <w:rPr>
          <w:b/>
          <w:bCs/>
        </w:rPr>
        <w:t xml:space="preserve">Dataform release configurations</w:t>
      </w:r>
      <w:r>
        <w:t xml:space="preserve"> </w:t>
      </w:r>
      <w:r>
        <w:t xml:space="preserve">on the transform side. For a one-statement job, a BigQuery</w:t>
      </w:r>
      <w:r>
        <w:t xml:space="preserve"> </w:t>
      </w:r>
      <w:r>
        <w:rPr>
          <w:b/>
          <w:bCs/>
        </w:rPr>
        <w:t xml:space="preserve">scheduled query</w:t>
      </w:r>
      <w:r>
        <w:t xml:space="preserve"> </w:t>
      </w:r>
      <w:r>
        <w:t xml:space="preserve">is the cheapest version — that was the closing demo yesterday: one click, a daily overwriting query, no pipeline.</w:t>
      </w:r>
    </w:p>
    <w:p>
      <w:pPr>
        <w:pStyle w:val="Compact"/>
        <w:numPr>
          <w:ilvl w:val="0"/>
          <w:numId w:val="1002"/>
        </w:numPr>
      </w:pPr>
      <w:r>
        <w:t xml:space="preserve">Two answers, and the distinction matters:</w:t>
      </w:r>
      <w:r>
        <w:t xml:space="preserve"> </w:t>
      </w:r>
      <w:r>
        <w:rPr>
          <w:b/>
          <w:bCs/>
        </w:rPr>
        <w:t xml:space="preserve">Dataform</w:t>
      </w:r>
      <w:r>
        <w:t xml:space="preserve"> </w:t>
      </w:r>
      <w:r>
        <w:t xml:space="preserve">for ELT — transform in SQL, inside BigQuery, your Silver→Gold path — and</w:t>
      </w:r>
      <w:r>
        <w:t xml:space="preserve"> </w:t>
      </w:r>
      <w:r>
        <w:rPr>
          <w:b/>
          <w:bCs/>
        </w:rPr>
        <w:t xml:space="preserve">Dataflow</w:t>
      </w:r>
      <w:r>
        <w:t xml:space="preserve"> </w:t>
      </w:r>
      <w:r>
        <w:t xml:space="preserve">for when SQL genuinely isn't enough (streaming, heavy custom logic). Your architecture doc names Dataform; Dataflow is the escape hatch, not the plan.</w:t>
      </w:r>
    </w:p>
    <w:p>
      <w:pPr>
        <w:pStyle w:val="Compact"/>
        <w:numPr>
          <w:ilvl w:val="0"/>
          <w:numId w:val="1002"/>
        </w:numPr>
      </w:pPr>
      <w:r>
        <w:t xml:space="preserve">They land in</w:t>
      </w:r>
      <w:r>
        <w:t xml:space="preserve"> </w:t>
      </w:r>
      <w:r>
        <w:rPr>
          <w:b/>
          <w:bCs/>
        </w:rPr>
        <w:t xml:space="preserve">Cloud Storage</w:t>
      </w:r>
      <w:r>
        <w:t xml:space="preserve"> </w:t>
      </w:r>
      <w:r>
        <w:t xml:space="preserve">— the Bronze layer — and load via</w:t>
      </w:r>
      <w:r>
        <w:t xml:space="preserve"> </w:t>
      </w:r>
      <w:r>
        <w:rPr>
          <w:b/>
          <w:bCs/>
        </w:rPr>
        <w:t xml:space="preserve">Storage Transfer Service,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bq load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LOAD DATA</w:t>
      </w:r>
      <w:r>
        <w:rPr>
          <w:b/>
          <w:bCs/>
        </w:rPr>
        <w:t xml:space="preserve"> </w:t>
      </w:r>
      <w:r>
        <w:rPr>
          <w:b/>
          <w:bCs/>
        </w:rPr>
        <w:t xml:space="preserve">SQL</w:t>
      </w:r>
      <w:r>
        <w:t xml:space="preserve">, or scheduled through</w:t>
      </w:r>
      <w:r>
        <w:t xml:space="preserve"> </w:t>
      </w:r>
      <w:r>
        <w:rPr>
          <w:b/>
          <w:bCs/>
        </w:rPr>
        <w:t xml:space="preserve">BigQuery Data Transfer Service</w:t>
      </w:r>
      <w:r>
        <w:t xml:space="preserve">. GCS first because it's a cheap, durable, replayable raw copy: the lake holds what the warehouse hasn't modeled yet.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Federated queries over external connections</w:t>
      </w:r>
      <w:r>
        <w:t xml:space="preserve"> </w:t>
      </w:r>
      <w:r>
        <w:t xml:space="preserve">(this morning's</w:t>
      </w:r>
      <w:r>
        <w:t xml:space="preserve"> </w:t>
      </w:r>
      <w:hyperlink r:id="rId11">
        <w:r>
          <w:rPr>
            <w:rStyle w:val="Hyperlink"/>
          </w:rPr>
          <w:t xml:space="preserve">lab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external tables</w:t>
      </w:r>
      <w:r>
        <w:t xml:space="preserve"> </w:t>
      </w:r>
      <w:r>
        <w:t xml:space="preserve">over GCS (the</w:t>
      </w:r>
      <w:r>
        <w:t xml:space="preserve"> </w:t>
      </w:r>
      <w:hyperlink r:id="rId12">
        <w:r>
          <w:rPr>
            <w:rStyle w:val="Hyperlink"/>
          </w:rPr>
          <w:t xml:space="preserve">11:15 activity</w:t>
        </w:r>
      </w:hyperlink>
      <w:r>
        <w:t xml:space="preserve">). The trade-off versus loading: no copy and always current, but no BigQuery storage optimizations — and the source system takes the load.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Dataform</w:t>
      </w:r>
      <w:r>
        <w:t xml:space="preserve"> </w:t>
      </w:r>
      <w:r>
        <w:t xml:space="preserve">— SQLX definitions, a dependency graph, assertions, release configurations, all in git, wired to your CI/CD. A Dataform assertion replaces the hand-rolled validation queries and job-step checks you run after loads today.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Materialized views</w:t>
      </w:r>
      <w:r>
        <w:t xml:space="preserve"> </w:t>
      </w:r>
      <w:r>
        <w:t xml:space="preserve">— BigQuery maintains the refresh for you, with nobody running a cube-processing job. More broadly: your</w:t>
      </w:r>
      <w:r>
        <w:t xml:space="preserve"> </w:t>
      </w:r>
      <w:r>
        <w:rPr>
          <w:b/>
          <w:bCs/>
        </w:rPr>
        <w:t xml:space="preserve">Gold-layer marts</w:t>
      </w:r>
      <w:r>
        <w:t xml:space="preserve">, built and scheduled by Dataform.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columnar formats matter.</w:t>
      </w:r>
      <w:r>
        <w:t xml:space="preserve"> </w:t>
      </w:r>
      <w:r>
        <w:t xml:space="preserve">Parquet on GCS is the Bronze foundation — and it's what Iceberg and BigLake build on (today's story). If your current extracts land as CSV, changing the format is a free, immediate win in the migration.</w:t>
      </w:r>
    </w:p>
    <w:p>
      <w:pPr>
        <w:pStyle w:val="Compact"/>
        <w:numPr>
          <w:ilvl w:val="0"/>
          <w:numId w:val="1002"/>
        </w:numPr>
      </w:pPr>
      <w:r>
        <w:t xml:space="preserve">Queries bill on</w:t>
      </w:r>
      <w:r>
        <w:t xml:space="preserve"> </w:t>
      </w:r>
      <w:r>
        <w:rPr>
          <w:b/>
          <w:bCs/>
        </w:rPr>
        <w:t xml:space="preserve">bytes scanned</w:t>
      </w:r>
      <w:r>
        <w:t xml:space="preserve"> </w:t>
      </w:r>
      <w:r>
        <w:t xml:space="preserve">under on-demand pricing;</w:t>
      </w:r>
      <w:r>
        <w:t xml:space="preserve"> </w:t>
      </w:r>
      <w:r>
        <w:rPr>
          <w:b/>
          <w:bCs/>
        </w:rPr>
        <w:t xml:space="preserve">loads are free</w:t>
      </w:r>
      <w:r>
        <w:t xml:space="preserve"> </w:t>
      </w:r>
      <w:r>
        <w:t xml:space="preserve">— every load yesterday showed "Bytes billed: 0 B." Which makes the cheapest automation you built yesterday the daily overwriting scheduled query: one statement, no pipeline. (Slots and flat-rate exist; the data-warehousing course goes deeper.)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Bronze</w:t>
      </w:r>
      <w:r>
        <w:t xml:space="preserve"> </w:t>
      </w:r>
      <w:r>
        <w:t xml:space="preserve">= raw lands as-is (GCS files, Datastream replicas, external/BigLake tables).</w:t>
      </w:r>
      <w:r>
        <w:t xml:space="preserve"> </w:t>
      </w:r>
      <w:r>
        <w:rPr>
          <w:b/>
          <w:bCs/>
        </w:rPr>
        <w:t xml:space="preserve">Silver</w:t>
      </w:r>
      <w:r>
        <w:t xml:space="preserve"> </w:t>
      </w:r>
      <w:r>
        <w:t xml:space="preserve">= cleaned, conformed, deduplicated BigQuery tables.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= business-ready marts that feed Power BI. Dataform does Silver→Gold — and your Power BI reports touch Gold only. Today we make all three concrete.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04_lab-federated-query-bigquery/lab-companion.pdf" TargetMode="External" /><Relationship Type="http://schemas.openxmlformats.org/officeDocument/2006/relationships/hyperlink" Id="rId12" Target="../05_activity-external-tables/activity-guid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04_lab-federated-query-bigquery/lab-companion.pdf" TargetMode="External" /><Relationship Type="http://schemas.openxmlformats.org/officeDocument/2006/relationships/hyperlink" Id="rId12" Target="../05_activity-external-tables/activity-guid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2026-10-03T16:14:53Z</dcterms:created>
  <dcterms:modified xsi:type="dcterms:W3CDTF">2026-10-03T16:14:53Z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