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78d868e6b4d5e4c30b4e3510b662e3c2c35191"/>
    <w:p>
      <w:pPr>
        <w:pStyle w:val="Heading1"/>
      </w:pPr>
      <w:r>
        <w:t xml:space="preserve">M8 — Building a Data Lakehouse with Cloud Storage, Open Formats, and BigQuery: student notes</w:t>
      </w:r>
    </w:p>
    <w:p>
      <w:pPr>
        <w:pStyle w:val="FirstParagraph"/>
      </w:pPr>
      <w:r>
        <w:t xml:space="preserve">Day 2 (Tue Oct 6), 09:45–10:30. Slides come from Course 2 Module 2; this module is the bridge from "lakehouse vocabulary" (M7) to the hands-on morning — the 10:45 federated-query lab and the 11:15 external-tables activity.</w:t>
      </w:r>
    </w:p>
    <w:bookmarkStart w:id="11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GCS + open formats is your Bronze foundation.</w:t>
      </w:r>
      <w:r>
        <w:t xml:space="preserve"> </w:t>
      </w:r>
      <w:r>
        <w:t xml:space="preserve">Parquet files — and Iceberg tables built on them — sitting in Cloud Storage buckets: that sentence ties this module directly to your architecture doc.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Parquet</w:t>
      </w:r>
      <w:r>
        <w:t xml:space="preserve"> </w:t>
      </w:r>
      <w:r>
        <w:t xml:space="preserve">is an open, column-oriented file format: compressed, splittable, and fast to scan. You felt this yesterday — 60 million rows took ~2 minutes as CSV and seconds as Parquet.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Apache Iceberg</w:t>
      </w:r>
      <w:r>
        <w:t xml:space="preserve"> </w:t>
      </w:r>
      <w:r>
        <w:t xml:space="preserve">is an open</w:t>
      </w:r>
      <w:r>
        <w:t xml:space="preserve"> </w:t>
      </w:r>
      <w:r>
        <w:rPr>
          <w:i/>
          <w:iCs/>
        </w:rPr>
        <w:t xml:space="preserve">table</w:t>
      </w:r>
      <w:r>
        <w:t xml:space="preserve"> </w:t>
      </w:r>
      <w:r>
        <w:t xml:space="preserve">format layered over files in a bucket. It gives raw lake files warehouse behavior: ACID transactions, schema evolution that never rewrites the table, hidden partitioning, and time travel/rollback — while staying readable by multiple engines (BigQuery, Spark, Trino...).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BigQuery is the central processing engine.</w:t>
      </w:r>
      <w:r>
        <w:t xml:space="preserve"> </w:t>
      </w:r>
      <w:r>
        <w:t xml:space="preserve">It queries managed tables and open-format tables in GCS alike, with storage and compute scaling independently. One SQL surface over Bronze, Silver, and Gold.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AlloyDB</w:t>
      </w:r>
      <w:r>
        <w:t xml:space="preserve"> </w:t>
      </w:r>
      <w:r>
        <w:t xml:space="preserve">— Google's fully managed, PostgreSQL-compatible database for operational/OLTP workloads — is the</w:t>
      </w:r>
      <w:r>
        <w:t xml:space="preserve"> </w:t>
      </w:r>
      <w:r>
        <w:rPr>
          <w:i/>
          <w:iCs/>
        </w:rPr>
        <w:t xml:space="preserve">operational sibling</w:t>
      </w:r>
      <w:r>
        <w:t xml:space="preserve">,</w:t>
      </w:r>
      <w:r>
        <w:t xml:space="preserve"> </w:t>
      </w:r>
      <w:r>
        <w:rPr>
          <w:b/>
          <w:bCs/>
        </w:rPr>
        <w:t xml:space="preserve">not your path</w:t>
      </w:r>
      <w:r>
        <w:t xml:space="preserve">. You meet it in the next lab only as a stand-in for a live operational store.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Federated queries</w:t>
      </w:r>
      <w:r>
        <w:t xml:space="preserve"> </w:t>
      </w:r>
      <w:r>
        <w:t xml:space="preserve">close the module: sending a query from BigQuery to data that lives in an external system, in real time, without moving it. That is exactly what you'll do hands-on at 10:45 — see the</w:t>
      </w:r>
      <w:r>
        <w:t xml:space="preserve"> </w:t>
      </w:r>
      <w:hyperlink r:id="rId9">
        <w:r>
          <w:rPr>
            <w:rStyle w:val="Hyperlink"/>
          </w:rPr>
          <w:t xml:space="preserve">lab companion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After the lab, the</w:t>
      </w:r>
      <w:r>
        <w:t xml:space="preserve"> </w:t>
      </w:r>
      <w:hyperlink r:id="rId10">
        <w:r>
          <w:rPr>
            <w:rStyle w:val="Hyperlink"/>
          </w:rPr>
          <w:t xml:space="preserve">external-tables activity</w:t>
        </w:r>
      </w:hyperlink>
      <w:r>
        <w:t xml:space="preserve"> </w:t>
      </w:r>
      <w:r>
        <w:t xml:space="preserve">applies the same "query it where it lives" idea to files in GCS — the open-formats slides made tangible.</w:t>
      </w:r>
    </w:p>
    <w:bookmarkEnd w:id="11"/>
    <w:bookmarkStart w:id="12" w:name="your-sql-server-world--gcp-world"/>
    <w:p>
      <w:pPr>
        <w:pStyle w:val="Heading2"/>
      </w:pPr>
      <w:r>
        <w:t xml:space="preserve">Your SQL Server world → GCP world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SQL Server world</w:t>
            </w:r>
          </w:p>
        </w:tc>
        <w:tc>
          <w:tcPr/>
          <w:p>
            <w:pPr>
              <w:pStyle w:val="Compact"/>
            </w:pPr>
            <w:r>
              <w:t xml:space="preserve">GCP world (this module's terms)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file shares and county/vendor CSV drops</w:t>
            </w:r>
          </w:p>
        </w:tc>
        <w:tc>
          <w:tcPr/>
          <w:p>
            <w:pPr>
              <w:pStyle w:val="Compact"/>
            </w:pPr>
            <w:r>
              <w:t xml:space="preserve">Cloud Storage buckets holding Parquet files — the Bronze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files nobody can query until an SSIS load runs</w:t>
            </w:r>
          </w:p>
        </w:tc>
        <w:tc>
          <w:tcPr/>
          <w:p>
            <w:pPr>
              <w:pStyle w:val="Compact"/>
            </w:pPr>
            <w:r>
              <w:t xml:space="preserve">Open formats queryable in place: external tables and Iceberg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DW tables</w:t>
            </w:r>
          </w:p>
        </w:tc>
        <w:tc>
          <w:tcPr/>
          <w:p>
            <w:pPr>
              <w:pStyle w:val="Compact"/>
            </w:pPr>
            <w:r>
              <w:t xml:space="preserve">BigQuery-managed tables — your Silver and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OLTP source systems</w:t>
            </w:r>
          </w:p>
        </w:tc>
        <w:tc>
          <w:tcPr/>
          <w:p>
            <w:pPr>
              <w:pStyle w:val="Compact"/>
            </w:pPr>
            <w:r>
              <w:t xml:space="preserve">The operational side (AlloyDB/Cloud SQL on GCP) — reachable by federation while it stays 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servers and four-part names</w:t>
            </w:r>
          </w:p>
        </w:tc>
        <w:tc>
          <w:tcPr/>
          <w:p>
            <w:pPr>
              <w:pStyle w:val="Compact"/>
            </w:pPr>
            <w:r>
              <w:t xml:space="preserve">BigQuery connection resources +</w:t>
            </w:r>
            <w:r>
              <w:t xml:space="preserve"> </w:t>
            </w:r>
            <w:r>
              <w:rPr>
                <w:rStyle w:val="VerbatimChar"/>
              </w:rPr>
              <w:t xml:space="preserve">EXTERNAL_QUERY</w:t>
            </w:r>
            <w:r>
              <w:t xml:space="preserve"> </w:t>
            </w:r>
            <w:r>
              <w:t xml:space="preserve">(the 10:45 lab)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SSIS data flows over staged files</w:t>
            </w:r>
          </w:p>
        </w:tc>
        <w:tc>
          <w:tcPr/>
          <w:p>
            <w:pPr>
              <w:pStyle w:val="Compact"/>
            </w:pPr>
            <w:r>
              <w:t xml:space="preserve">BigQuery SQL over open formats — no staging hop required</w:t>
            </w:r>
          </w:p>
        </w:tc>
      </w:tr>
    </w:tbl>
    <w:bookmarkEnd w:id="12"/>
    <w:bookmarkStart w:id="18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Apache Parquet</w:t>
        </w:r>
      </w:hyperlink>
      <w:r>
        <w:t xml:space="preserve"> </w:t>
      </w:r>
      <w:r>
        <w:t xml:space="preserve">— the columnar file format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Apache Iceberg</w:t>
        </w:r>
      </w:hyperlink>
      <w:r>
        <w:t xml:space="preserve"> </w:t>
      </w:r>
      <w:r>
        <w:t xml:space="preserve">— the open table format (schema evolution, hidden partitioning, time travel)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Introduction to BigLake tables</w:t>
        </w:r>
      </w:hyperlink>
      <w:r>
        <w:t xml:space="preserve"> </w:t>
      </w:r>
      <w:r>
        <w:t xml:space="preserve">— governed tables over GCS files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Introduction to federated queries</w:t>
        </w:r>
      </w:hyperlink>
      <w:r>
        <w:t xml:space="preserve"> </w:t>
      </w:r>
      <w:r>
        <w:t xml:space="preserve">— the mechanics behind the next lab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AlloyDB overview</w:t>
        </w:r>
      </w:hyperlink>
      <w:r>
        <w:t xml:space="preserve"> </w:t>
      </w:r>
      <w:r>
        <w:t xml:space="preserve">— for context only; not your migration target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4_lab-federated-query-bigquery/lab-companion.pdf" TargetMode="External" /><Relationship Type="http://schemas.openxmlformats.org/officeDocument/2006/relationships/hyperlink" Id="rId10" Target="../05_activity-external-tables/activity-guide.pdf" TargetMode="External" /><Relationship Type="http://schemas.openxmlformats.org/officeDocument/2006/relationships/hyperlink" Id="rId17" Target="https://cloud.google.com/alloydb/docs/overview" TargetMode="External" /><Relationship Type="http://schemas.openxmlformats.org/officeDocument/2006/relationships/hyperlink" Id="rId15" Target="https://cloud.google.com/bigquery/docs/biglake-intro" TargetMode="External" /><Relationship Type="http://schemas.openxmlformats.org/officeDocument/2006/relationships/hyperlink" Id="rId16" Target="https://cloud.google.com/bigquery/docs/federated-queries-intro" TargetMode="External" /><Relationship Type="http://schemas.openxmlformats.org/officeDocument/2006/relationships/hyperlink" Id="rId14" Target="https://iceberg.apache.org/" TargetMode="External" /><Relationship Type="http://schemas.openxmlformats.org/officeDocument/2006/relationships/hyperlink" Id="rId13" Target="https://parquet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4_lab-federated-query-bigquery/lab-companion.pdf" TargetMode="External" /><Relationship Type="http://schemas.openxmlformats.org/officeDocument/2006/relationships/hyperlink" Id="rId10" Target="../05_activity-external-tables/activity-guide.pdf" TargetMode="External" /><Relationship Type="http://schemas.openxmlformats.org/officeDocument/2006/relationships/hyperlink" Id="rId17" Target="https://cloud.google.com/alloydb/docs/overview" TargetMode="External" /><Relationship Type="http://schemas.openxmlformats.org/officeDocument/2006/relationships/hyperlink" Id="rId15" Target="https://cloud.google.com/bigquery/docs/biglake-intro" TargetMode="External" /><Relationship Type="http://schemas.openxmlformats.org/officeDocument/2006/relationships/hyperlink" Id="rId16" Target="https://cloud.google.com/bigquery/docs/federated-queries-intro" TargetMode="External" /><Relationship Type="http://schemas.openxmlformats.org/officeDocument/2006/relationships/hyperlink" Id="rId14" Target="https://iceberg.apache.org/" TargetMode="External" /><Relationship Type="http://schemas.openxmlformats.org/officeDocument/2006/relationships/hyperlink" Id="rId13" Target="https://parquet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