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3c9db3af5bb614c6fbd90dbb831bc62c96a076"/>
    <w:p>
      <w:pPr>
        <w:pStyle w:val="Heading1"/>
      </w:pPr>
      <w:r>
        <w:t xml:space="preserve">Lab companion — Federated Query with BigQuery and AlloyDB</w:t>
      </w:r>
    </w:p>
    <w:p>
      <w:pPr>
        <w:pStyle w:val="FirstParagraph"/>
      </w:pPr>
      <w:r>
        <w:t xml:space="preserve">Day 2 (Tue Oct 6), 10:45–11:15. The lab's own step-by-step lives in your Google Skills classroom seat (listed there as "Federated Query with BigQuery"); this companion is the orientation around it — what you're building, why, and what tends to go wrong.</w:t>
      </w:r>
    </w:p>
    <w:bookmarkStart w:id="9" w:name="the-one-thing-to-remember"/>
    <w:p>
      <w:pPr>
        <w:pStyle w:val="Heading2"/>
      </w:pPr>
      <w:r>
        <w:t xml:space="preserve">The one thing to remember</w:t>
      </w:r>
    </w:p>
    <w:p>
      <w:pPr>
        <w:pStyle w:val="BlockText"/>
      </w:pPr>
      <w:r>
        <w:rPr>
          <w:b/>
          <w:bCs/>
        </w:rPr>
        <w:t xml:space="preserve">A federated query is BigQuery's version of a linked server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OPENQUERY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connection resource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linked server definition</w:t>
      </w:r>
      <w:r>
        <w:t xml:space="preserve">: server, credentials, one-time setup.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EXTERNAL_QUERY(connection_id, '...')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  <w:b/>
          <w:bCs/>
        </w:rPr>
        <w:t xml:space="preserve">OPENQUERY</w:t>
      </w:r>
      <w:r>
        <w:t xml:space="preserve">: the string inside the quotes is shipped to the remote system and executed</w:t>
      </w:r>
      <w:r>
        <w:t xml:space="preserve"> </w:t>
      </w:r>
      <w:r>
        <w:rPr>
          <w:i/>
          <w:iCs/>
        </w:rPr>
        <w:t xml:space="preserve">there</w:t>
      </w:r>
      <w:r>
        <w:t xml:space="preserve">, in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SQL dialect.</w:t>
      </w:r>
    </w:p>
    <w:p>
      <w:pPr>
        <w:pStyle w:val="Compact"/>
        <w:numPr>
          <w:ilvl w:val="0"/>
          <w:numId w:val="1001"/>
        </w:numPr>
      </w:pPr>
      <w:r>
        <w:t xml:space="preserve">And just like</w:t>
      </w:r>
      <w:r>
        <w:t xml:space="preserve"> </w:t>
      </w:r>
      <w:r>
        <w:rPr>
          <w:rStyle w:val="VerbatimChar"/>
        </w:rPr>
        <w:t xml:space="preserve">OPENQUERY</w:t>
      </w:r>
      <w:r>
        <w:t xml:space="preserve">: there is no browsing the remote tables — you query blind.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Compact"/>
        <w:numPr>
          <w:ilvl w:val="0"/>
          <w:numId w:val="1002"/>
        </w:numPr>
      </w:pPr>
      <w:r>
        <w:t xml:space="preserve">Connect BigQuery to an AlloyDB for PostgreSQL database (AlloyDB plays the role of a live operational store — it is not your migration target).</w:t>
      </w:r>
    </w:p>
    <w:p>
      <w:pPr>
        <w:pStyle w:val="Compact"/>
        <w:numPr>
          <w:ilvl w:val="0"/>
          <w:numId w:val="1002"/>
        </w:numPr>
      </w:pPr>
      <w:r>
        <w:t xml:space="preserve">Run your first</w:t>
      </w:r>
      <w:r>
        <w:t xml:space="preserve"> </w:t>
      </w:r>
      <w:r>
        <w:rPr>
          <w:rStyle w:val="VerbatimChar"/>
        </w:rPr>
        <w:t xml:space="preserve">EXTERNAL_QUERY</w:t>
      </w:r>
      <w:r>
        <w:t xml:space="preserve"> </w:t>
      </w:r>
      <w:r>
        <w:t xml:space="preserve">against it.</w:t>
      </w:r>
    </w:p>
    <w:p>
      <w:pPr>
        <w:pStyle w:val="Compact"/>
        <w:numPr>
          <w:ilvl w:val="0"/>
          <w:numId w:val="1002"/>
        </w:numPr>
      </w:pPr>
      <w:r>
        <w:t xml:space="preserve">Join historical analytical data (in BigQuery) with live transactional rows (in AlloyDB) in a single SQL statement.</w:t>
      </w:r>
    </w:p>
    <w:bookmarkEnd w:id="10"/>
    <w:bookmarkStart w:id="11" w:name="why-it-matters-for-your-migration"/>
    <w:p>
      <w:pPr>
        <w:pStyle w:val="Heading2"/>
      </w:pPr>
      <w:r>
        <w:t xml:space="preserve">Why it matters for your migration</w:t>
      </w:r>
    </w:p>
    <w:p>
      <w:pPr>
        <w:pStyle w:val="FirstParagraph"/>
      </w:pPr>
      <w:r>
        <w:t xml:space="preserve">During your migration, not everything moves at once. Federation means the SQL Server systems that are still operational stay reachable from BigQuery</w:t>
      </w:r>
      <w:r>
        <w:t xml:space="preserve"> </w:t>
      </w:r>
      <w:r>
        <w:rPr>
          <w:b/>
          <w:bCs/>
        </w:rPr>
        <w:t xml:space="preserve">without copying them first</w:t>
      </w:r>
      <w:r>
        <w:t xml:space="preserve"> </w:t>
      </w:r>
      <w:r>
        <w:t xml:space="preserve">— no extract job built just to join operational tables against warehouse data. This is the pattern that lets you migrate in phases instead of betting on a big-bang cutover.</w:t>
      </w:r>
    </w:p>
    <w:p>
      <w:pPr>
        <w:pStyle w:val="BodyText"/>
      </w:pPr>
      <w:r>
        <w:t xml:space="preserve">The honest trade-offs, so you apply it deliberately: the source system takes the query load, results don't get BigQuery storage optimizations, federated queries are read-only, and on-demand billing charges for the bytes returned from the external side. Federation is a bridge, not a destination — Silver/Gold still belong in managed tables.</w: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t xml:space="preserve">Launch the lab from your seat in the</w:t>
      </w:r>
      <w:r>
        <w:t xml:space="preserve"> </w:t>
      </w:r>
      <w:hyperlink r:id="rId12">
        <w:r>
          <w:rPr>
            <w:rStyle w:val="Hyperlink"/>
          </w:rPr>
          <w:t xml:space="preserve">Skills classroom</w:t>
        </w:r>
      </w:hyperlink>
      <w:r>
        <w:t xml:space="preserve"> </w:t>
      </w:r>
      <w:r>
        <w:t xml:space="preserve">and sign in to the console with the</w:t>
      </w:r>
      <w:r>
        <w:t xml:space="preserve"> </w:t>
      </w:r>
      <w:r>
        <w:rPr>
          <w:b/>
          <w:bCs/>
        </w:rPr>
        <w:t xml:space="preserve">lab-provided credentials</w:t>
      </w:r>
      <w:r>
        <w:t xml:space="preserve">, not your own account.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project picker</w:t>
      </w:r>
      <w:r>
        <w:t xml:space="preserve"> </w:t>
      </w:r>
      <w:r>
        <w:t xml:space="preserve">at the top of the console: the lab spins up its own temporary GCP project, and everything you build must go there.</w:t>
      </w:r>
    </w:p>
    <w:p>
      <w:pPr>
        <w:pStyle w:val="Compact"/>
        <w:numPr>
          <w:ilvl w:val="0"/>
          <w:numId w:val="1003"/>
        </w:numPr>
      </w:pPr>
      <w:r>
        <w:t xml:space="preserve">Note the region the lab instructions give you, and keep every resource you create in that region.</w:t>
      </w:r>
    </w:p>
    <w:bookmarkEnd w:id="13"/>
    <w:bookmarkStart w:id="14" w:name="while-you-work--pointers-not-steps"/>
    <w:p>
      <w:pPr>
        <w:pStyle w:val="Heading2"/>
      </w:pPr>
      <w:r>
        <w:t xml:space="preserve">While you work — pointers, not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connection setup is the "linked server definition" moment.</w:t>
      </w:r>
      <w:r>
        <w:t xml:space="preserve"> </w:t>
      </w:r>
      <w:r>
        <w:t xml:space="preserve">New concept, one-time work: region, connection ID, credentials. Go slowly here; once it exists, everything else is just SQL.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API-enable and consent prompts are expected.</w:t>
      </w:r>
      <w:r>
        <w:t xml:space="preserve"> </w:t>
      </w:r>
      <w:r>
        <w:t xml:space="preserve">If the console asks you to enable an API (for example the BigQuery Connection API) or confirm a consent screen, click through — that's normal in a fresh lab project.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EXTERNAL_QUERY</w:t>
      </w:r>
      <w:r>
        <w:rPr>
          <w:b/>
          <w:bCs/>
        </w:rPr>
        <w:t xml:space="preserve">:</w:t>
      </w:r>
      <w:r>
        <w:t xml:space="preserve"> </w:t>
      </w:r>
      <w:r>
        <w:t xml:space="preserve">the inner statement is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executed on the AlloyDB side. BigQuery syntax inside the quotes fails — this is the single most common trip point. Watch your quoting too: single quotes inside the inner query must be escaped (double them, or wrap the whole inner query in triple single quotes</w:t>
      </w:r>
      <w:r>
        <w:t xml:space="preserve"> </w:t>
      </w:r>
      <w:r>
        <w:rPr>
          <w:rStyle w:val="VerbatimChar"/>
        </w:rPr>
        <w:t xml:space="preserve">'''...'''</w:t>
      </w:r>
      <w:r>
        <w:t xml:space="preserve"> </w:t>
      </w:r>
      <w:r>
        <w:t xml:space="preserve">the way Google's own examples 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payoff is the join:</w:t>
      </w:r>
      <w:r>
        <w:t xml:space="preserve"> </w:t>
      </w:r>
      <w:r>
        <w:t xml:space="preserve">historical/analytical data on the BigQuery side ⨝ live transactional rows on the AlloyDB side, one statement. If you get nothing else working, get this — a working connection you can re-create later is the real takeaway.</w:t>
      </w:r>
    </w:p>
    <w:bookmarkEnd w:id="14"/>
    <w:bookmarkStart w:id="15" w:name="common-gotchas"/>
    <w:p>
      <w:pPr>
        <w:pStyle w:val="Heading2"/>
      </w:pPr>
      <w:r>
        <w:t xml:space="preserve">Common gotchas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Wrong project in the picker</w:t>
      </w:r>
      <w:r>
        <w:t xml:space="preserve"> </w:t>
      </w:r>
      <w:r>
        <w:t xml:space="preserve">— you created the connection in the wrong project and now nothing in the lab matches. Check the picker first whenever something "isn't there."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Connection ID typos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EXTERNAL_QUERY</w:t>
      </w:r>
      <w:r>
        <w:t xml:space="preserve"> </w:t>
      </w:r>
      <w:r>
        <w:t xml:space="preserve">— it must match exactly, in the form</w:t>
      </w:r>
      <w:r>
        <w:t xml:space="preserve"> </w:t>
      </w:r>
      <w:r>
        <w:rPr>
          <w:rStyle w:val="VerbatimChar"/>
        </w:rPr>
        <w:t xml:space="preserve">region.connection-id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'us.my-connection'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Region alignment</w:t>
      </w:r>
      <w:r>
        <w:t xml:space="preserve"> </w:t>
      </w:r>
      <w:r>
        <w:t xml:space="preserve">— the connection resource's location must match where the query runs, and a single-region BigQuery setup can only federate to sources in the same region. If the lab says one region, use it everywhere.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BigQuery SQL inside the quotes</w:t>
      </w:r>
      <w:r>
        <w:t xml:space="preserve"> </w:t>
      </w:r>
      <w:r>
        <w:t xml:space="preserve">— the inner string is PostgreSQL. Backticks, GoogleSQL functions, and T-SQL habits all fail in there.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"Why can't I see the AlloyDB tables in the Explorer pane?"</w:t>
      </w:r>
      <w:r>
        <w:t xml:space="preserve"> </w:t>
      </w:r>
      <w:r>
        <w:t xml:space="preserve">— because federation is query-only. There is no table browsing; you write the inner query blind, exactly like</w:t>
      </w:r>
      <w:r>
        <w:t xml:space="preserve"> </w:t>
      </w:r>
      <w:r>
        <w:rPr>
          <w:rStyle w:val="VerbatimChar"/>
        </w:rPr>
        <w:t xml:space="preserve">OPENQUERY</w:t>
      </w:r>
      <w:r>
        <w:t xml:space="preserve">.</w:t>
      </w:r>
    </w:p>
    <w:bookmarkEnd w:id="15"/>
    <w:bookmarkStart w:id="16" w:name="if-you-finish-early"/>
    <w:p>
      <w:pPr>
        <w:pStyle w:val="Heading2"/>
      </w:pPr>
      <w:r>
        <w:t xml:space="preserve">If you finish early</w:t>
      </w:r>
    </w:p>
    <w:p>
      <w:pPr>
        <w:pStyle w:val="Compact"/>
        <w:numPr>
          <w:ilvl w:val="0"/>
          <w:numId w:val="1006"/>
        </w:numPr>
      </w:pPr>
      <w:r>
        <w:t xml:space="preserve">Run the inner PostgreSQL query on its own (just the string inside the quotes) to prove to yourself which side executes it.</w:t>
      </w:r>
    </w:p>
    <w:p>
      <w:pPr>
        <w:pStyle w:val="Compact"/>
        <w:numPr>
          <w:ilvl w:val="0"/>
          <w:numId w:val="1006"/>
        </w:numPr>
      </w:pPr>
      <w:r>
        <w:t xml:space="preserve">Add a filter inside the inner query — for example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— and watch the remote side do the work before BigQuery sees a row.</w:t>
      </w:r>
    </w:p>
    <w:p>
      <w:pPr>
        <w:pStyle w:val="Compact"/>
        <w:numPr>
          <w:ilvl w:val="0"/>
          <w:numId w:val="1006"/>
        </w:numPr>
      </w:pPr>
      <w:r>
        <w:t xml:space="preserve">List the remote database's metadata through the same connection: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EXTERNAL_QUERY(</w:t>
      </w:r>
      <w:r>
        <w:rPr>
          <w:rStyle w:val="OtherTok"/>
        </w:rPr>
        <w:t xml:space="preserve">"region.connection-id"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"select * from information_schema.tables;"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00"/>
        </w:numPr>
      </w:pPr>
      <w:r>
        <w:t xml:space="preserve">(swap in your connection ID — this is the PostgreSQL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 not BigQuery's).</w:t>
      </w:r>
    </w:p>
    <w:p>
      <w:pPr>
        <w:pStyle w:val="Compact"/>
        <w:numPr>
          <w:ilvl w:val="0"/>
          <w:numId w:val="1006"/>
        </w:numPr>
      </w:pPr>
      <w:r>
        <w:t xml:space="preserve">Open the job's</w:t>
      </w:r>
      <w:r>
        <w:t xml:space="preserve"> </w:t>
      </w:r>
      <w:r>
        <w:rPr>
          <w:b/>
          <w:bCs/>
        </w:rPr>
        <w:t xml:space="preserve">Execution details</w:t>
      </w:r>
      <w:r>
        <w:t xml:space="preserve"> </w:t>
      </w:r>
      <w:r>
        <w:t xml:space="preserve">after the join and find what BigQuery reports for the federated step.</w:t>
      </w:r>
    </w:p>
    <w:bookmarkEnd w:id="16"/>
    <w:bookmarkStart w:id="17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07"/>
        </w:numPr>
      </w:pPr>
      <w:r>
        <w:t xml:space="preserve">I can see my connection resource under</w:t>
      </w:r>
      <w:r>
        <w:t xml:space="preserve"> </w:t>
      </w:r>
      <w:r>
        <w:rPr>
          <w:b/>
          <w:bCs/>
        </w:rPr>
        <w:t xml:space="preserve">External connections</w:t>
      </w:r>
      <w:r>
        <w:t xml:space="preserve"> </w:t>
      </w:r>
      <w:r>
        <w:t xml:space="preserve">in the BigQuery Explorer pane.</w:t>
      </w:r>
    </w:p>
    <w:p>
      <w:pPr>
        <w:pStyle w:val="Compact"/>
        <w:numPr>
          <w:ilvl w:val="0"/>
          <w:numId w:val="1008"/>
        </w:numPr>
      </w:pPr>
      <w:r>
        <w:t xml:space="preserve">My first</w:t>
      </w:r>
      <w:r>
        <w:t xml:space="preserve"> </w:t>
      </w:r>
      <w:r>
        <w:rPr>
          <w:rStyle w:val="VerbatimChar"/>
        </w:rPr>
        <w:t xml:space="preserve">EXTERNAL_QUERY</w:t>
      </w:r>
      <w:r>
        <w:t xml:space="preserve"> </w:t>
      </w:r>
      <w:r>
        <w:t xml:space="preserve">returned rows from AlloyDB.</w:t>
      </w:r>
    </w:p>
    <w:p>
      <w:pPr>
        <w:pStyle w:val="Compact"/>
        <w:numPr>
          <w:ilvl w:val="0"/>
          <w:numId w:val="1009"/>
        </w:numPr>
      </w:pPr>
      <w:r>
        <w:t xml:space="preserve">I joined BigQuery historical data with live AlloyDB transactional rows in one query.</w:t>
      </w:r>
    </w:p>
    <w:p>
      <w:pPr>
        <w:pStyle w:val="Compact"/>
        <w:numPr>
          <w:ilvl w:val="0"/>
          <w:numId w:val="1010"/>
        </w:numPr>
      </w:pPr>
      <w:r>
        <w:t xml:space="preserve">I can explain which part of the query runs where: the inner string is PostgreSQL on AlloyDB; everything outside</w:t>
      </w:r>
      <w:r>
        <w:t xml:space="preserve"> </w:t>
      </w:r>
      <w:r>
        <w:rPr>
          <w:rStyle w:val="VerbatimChar"/>
        </w:rPr>
        <w:t xml:space="preserve">EXTERNAL_QUERY</w:t>
      </w:r>
      <w:r>
        <w:t xml:space="preserve"> </w:t>
      </w:r>
      <w:r>
        <w:t xml:space="preserve">is GoogleSQL in BigQuery.</w:t>
      </w:r>
    </w:p>
    <w:p>
      <w:pPr>
        <w:pStyle w:val="Compact"/>
        <w:numPr>
          <w:ilvl w:val="0"/>
          <w:numId w:val="1011"/>
        </w:numPr>
      </w:pPr>
      <w:r>
        <w:t xml:space="preserve">I can name what this maps to in my current stack: a linked server definition plus</w:t>
      </w:r>
      <w:r>
        <w:t xml:space="preserve"> </w:t>
      </w:r>
      <w:r>
        <w:rPr>
          <w:rStyle w:val="VerbatimChar"/>
        </w:rPr>
        <w:t xml:space="preserve">OPENQUERY</w:t>
      </w:r>
      <w:r>
        <w:t xml:space="preserve">.</w:t>
      </w:r>
    </w:p>
    <w:bookmarkEnd w:id="17"/>
    <w:bookmarkStart w:id="18" w:name="what-this-replaces-in-your-current-stack"/>
    <w:p>
      <w:pPr>
        <w:pStyle w:val="Heading2"/>
      </w:pPr>
      <w:r>
        <w:t xml:space="preserve">What this replaces in your current stack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Linked servers, four-part names,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OPENQUERY</w:t>
      </w:r>
      <w:r>
        <w:t xml:space="preserve"> </w:t>
      </w:r>
      <w:r>
        <w:t xml:space="preserve">— the connection resource plus</w:t>
      </w:r>
      <w:r>
        <w:t xml:space="preserve"> </w:t>
      </w:r>
      <w:r>
        <w:rPr>
          <w:rStyle w:val="VerbatimChar"/>
        </w:rPr>
        <w:t xml:space="preserve">EXTERNAL_QUERY</w:t>
      </w:r>
      <w:r>
        <w:t xml:space="preserve"> </w:t>
      </w:r>
      <w:r>
        <w:t xml:space="preserve">covers the same ground.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nightly "extract the operational tables just so we can join them" jobs</w:t>
      </w:r>
      <w:r>
        <w:t xml:space="preserve"> </w:t>
      </w:r>
      <w:r>
        <w:t xml:space="preserve">— during the migration you query data where it lives and load it only when there's a reason to.</w:t>
      </w:r>
    </w:p>
    <w:p>
      <w:pPr>
        <w:pStyle w:val="FirstParagraph"/>
      </w:pPr>
      <w:r>
        <w:rPr>
          <w:b/>
          <w:bCs/>
        </w:rPr>
        <w:t xml:space="preserve">The debrief in one line: querying data where it lives — that is the lakehouse promise.</w:t>
      </w:r>
      <w:r>
        <w:t xml:space="preserve"> </w:t>
      </w:r>
      <w:r>
        <w:t xml:space="preserve">Your Bronze lands in GCS/BigQuery, but anything still operational on the SQL Server side stays reachable during the migration. You don't have to move it all first.</w:t>
      </w:r>
    </w:p>
    <w:bookmarkEnd w:id="18"/>
    <w:bookmarkStart w:id="23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13"/>
        </w:numPr>
      </w:pPr>
      <w:hyperlink r:id="rId19">
        <w:r>
          <w:rPr>
            <w:rStyle w:val="Hyperlink"/>
          </w:rPr>
          <w:t xml:space="preserve">Introduction to federated queries</w:t>
        </w:r>
      </w:hyperlink>
      <w:r>
        <w:t xml:space="preserve"> </w:t>
      </w:r>
      <w:r>
        <w:t xml:space="preserve">— region rules, quotas, pricing, SQL pushdowns</w:t>
      </w:r>
    </w:p>
    <w:p>
      <w:pPr>
        <w:pStyle w:val="Compact"/>
        <w:numPr>
          <w:ilvl w:val="0"/>
          <w:numId w:val="1013"/>
        </w:numPr>
      </w:pPr>
      <w:hyperlink r:id="rId20">
        <w:r>
          <w:rPr>
            <w:rStyle w:val="Hyperlink"/>
          </w:rPr>
          <w:t xml:space="preserve">AlloyDB federated queries</w:t>
        </w:r>
      </w:hyperlink>
      <w:r>
        <w:t xml:space="preserve"> </w:t>
      </w:r>
      <w:r>
        <w:t xml:space="preserve">— including the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trick above</w:t>
      </w:r>
    </w:p>
    <w:p>
      <w:pPr>
        <w:pStyle w:val="Compact"/>
        <w:numPr>
          <w:ilvl w:val="0"/>
          <w:numId w:val="1013"/>
        </w:numPr>
      </w:pPr>
      <w:hyperlink r:id="rId21">
        <w:r>
          <w:rPr>
            <w:rStyle w:val="Hyperlink"/>
          </w:rPr>
          <w:t xml:space="preserve">AlloyDB overview</w:t>
        </w:r>
      </w:hyperlink>
      <w:r>
        <w:t xml:space="preserve"> </w:t>
      </w:r>
      <w:r>
        <w:t xml:space="preserve">— what the lab's stand-in operational store actually is</w:t>
      </w:r>
    </w:p>
    <w:p>
      <w:pPr>
        <w:pStyle w:val="Compact"/>
        <w:numPr>
          <w:ilvl w:val="0"/>
          <w:numId w:val="1013"/>
        </w:numPr>
      </w:pPr>
      <w:r>
        <w:t xml:space="preserve">Next: the same trick against files in Cloud Storage —</w:t>
      </w:r>
      <w:r>
        <w:t xml:space="preserve"> </w:t>
      </w:r>
      <w:hyperlink r:id="rId22">
        <w:r>
          <w:rPr>
            <w:rStyle w:val="Hyperlink"/>
          </w:rPr>
          <w:t xml:space="preserve">Exploring external tables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05_activity-external-tables/activity-guide.pdf" TargetMode="External" /><Relationship Type="http://schemas.openxmlformats.org/officeDocument/2006/relationships/hyperlink" Id="rId21" Target="https://cloud.google.com/alloydb/docs/overview" TargetMode="External" /><Relationship Type="http://schemas.openxmlformats.org/officeDocument/2006/relationships/hyperlink" Id="rId20" Target="https://cloud.google.com/bigquery/docs/alloydb-federated-queries" TargetMode="External" /><Relationship Type="http://schemas.openxmlformats.org/officeDocument/2006/relationships/hyperlink" Id="rId19" Target="https://cloud.google.com/bigquery/docs/federated-queries-intro" TargetMode="External" /><Relationship Type="http://schemas.openxmlformats.org/officeDocument/2006/relationships/hyperlink" Id="rId12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5_activity-external-tables/activity-guide.pdf" TargetMode="External" /><Relationship Type="http://schemas.openxmlformats.org/officeDocument/2006/relationships/hyperlink" Id="rId21" Target="https://cloud.google.com/alloydb/docs/overview" TargetMode="External" /><Relationship Type="http://schemas.openxmlformats.org/officeDocument/2006/relationships/hyperlink" Id="rId20" Target="https://cloud.google.com/bigquery/docs/alloydb-federated-queries" TargetMode="External" /><Relationship Type="http://schemas.openxmlformats.org/officeDocument/2006/relationships/hyperlink" Id="rId19" Target="https://cloud.google.com/bigquery/docs/federated-queries-intro" TargetMode="External" /><Relationship Type="http://schemas.openxmlformats.org/officeDocument/2006/relationships/hyperlink" Id="rId12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