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0f346428c032ee7a884f0fc23293d0085b8aa6"/>
    <w:p>
      <w:pPr>
        <w:pStyle w:val="Heading1"/>
      </w:pPr>
      <w:r>
        <w:t xml:space="preserve">Activity guide — Exploring external tables (DIN §30): Bronze made tangible</w:t>
      </w:r>
    </w:p>
    <w:p>
      <w:pPr>
        <w:pStyle w:val="FirstParagraph"/>
      </w:pPr>
      <w:r>
        <w:t xml:space="preserve">Day 2 (Tue Oct 6), 11:15–11:35, instructor-led follow-along. You will point BigQuery at a bucket of Hive-partitioned Parquet files and query them as a table — with no load job, no SSIS package, and no staging table. Adapted from §30 of the</w:t>
      </w:r>
      <w:r>
        <w:t xml:space="preserve"> </w:t>
      </w:r>
      <w:hyperlink r:id="rId9">
        <w:r>
          <w:rPr>
            <w:rStyle w:val="Hyperlink"/>
          </w:rPr>
          <w:t xml:space="preserve">Do-It-Now (DIN) activities page</w:t>
        </w:r>
      </w:hyperlink>
      <w:r>
        <w:t xml:space="preserve">.</w:t>
      </w:r>
    </w:p>
    <w:bookmarkStart w:id="10" w:name="what-youll-do"/>
    <w:p>
      <w:pPr>
        <w:pStyle w:val="Heading2"/>
      </w:pPr>
      <w:r>
        <w:t xml:space="preserve">What you'll do</w:t>
      </w:r>
    </w:p>
    <w:p>
      <w:pPr>
        <w:pStyle w:val="Compact"/>
        <w:numPr>
          <w:ilvl w:val="0"/>
          <w:numId w:val="1001"/>
        </w:numPr>
      </w:pPr>
      <w:r>
        <w:t xml:space="preserve">Inspect a public GCS bucket (</w:t>
      </w:r>
      <w:r>
        <w:rPr>
          <w:rStyle w:val="VerbatimChar"/>
        </w:rPr>
        <w:t xml:space="preserve">gs://jwd-gcp-demos/orders_partitioned/</w:t>
      </w:r>
      <w:r>
        <w:t xml:space="preserve">) laid out in Hive partition style.</w:t>
      </w:r>
    </w:p>
    <w:p>
      <w:pPr>
        <w:pStyle w:val="Compact"/>
        <w:numPr>
          <w:ilvl w:val="0"/>
          <w:numId w:val="1001"/>
        </w:numPr>
      </w:pPr>
      <w:r>
        <w:t xml:space="preserve">Create a BigQuery</w:t>
      </w:r>
      <w:r>
        <w:t xml:space="preserve"> </w:t>
      </w:r>
      <w:r>
        <w:rPr>
          <w:b/>
          <w:bCs/>
        </w:rPr>
        <w:t xml:space="preserve">external table</w:t>
      </w:r>
      <w:r>
        <w:t xml:space="preserve"> </w:t>
      </w:r>
      <w:r>
        <w:t xml:space="preserve">over it, named</w:t>
      </w:r>
      <w:r>
        <w:t xml:space="preserve"> </w:t>
      </w:r>
      <w:r>
        <w:rPr>
          <w:rStyle w:val="VerbatimChar"/>
        </w:rPr>
        <w:t xml:space="preserve">ext_part</w:t>
      </w:r>
      <w:r>
        <w:t xml:space="preserve">, in 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dataset.</w:t>
      </w:r>
    </w:p>
    <w:p>
      <w:pPr>
        <w:pStyle w:val="Compact"/>
        <w:numPr>
          <w:ilvl w:val="0"/>
          <w:numId w:val="1001"/>
        </w:numPr>
      </w:pPr>
      <w:r>
        <w:t xml:space="preserve">Run three small queries and watch</w:t>
      </w:r>
      <w:r>
        <w:t xml:space="preserve"> </w:t>
      </w:r>
      <w:r>
        <w:rPr>
          <w:b/>
          <w:bCs/>
        </w:rPr>
        <w:t xml:space="preserve">bytes processed</w:t>
      </w:r>
      <w:r>
        <w:t xml:space="preserve">: a full scan, a filter on a data column (still a full scan), and a filter on the partition column (bytes drop dramatically).</w:t>
      </w:r>
    </w:p>
    <w:p>
      <w:pPr>
        <w:pStyle w:val="FirstParagraph"/>
      </w:pPr>
      <w:r>
        <w:t xml:space="preserve">Cost: effectively free — the DIN page badges this activity low-cost, and the scanned bytes on this dataset are tiny (three small queries; pennies at on-demand rates).</w:t>
      </w:r>
    </w:p>
    <w:bookmarkEnd w:id="10"/>
    <w:bookmarkStart w:id="11" w:name="why-it-matters-for-your-migration"/>
    <w:p>
      <w:pPr>
        <w:pStyle w:val="Heading2"/>
      </w:pPr>
      <w:r>
        <w:t xml:space="preserve">Why it matters for your migration</w:t>
      </w:r>
    </w:p>
    <w:p>
      <w:pPr>
        <w:pStyle w:val="FirstParagraph"/>
      </w:pPr>
      <w:r>
        <w:rPr>
          <w:b/>
          <w:bCs/>
        </w:rPr>
        <w:t xml:space="preserve">This is Bronze made tangible.</w:t>
      </w:r>
      <w:r>
        <w:t xml:space="preserve"> </w:t>
      </w:r>
      <w:r>
        <w:t xml:space="preserve">Open-format files sit in a bucket, partitioned by date, and are immediately queryable in standard SQL — zero loading. Your architecture doc's Bronze layer is exactly this.</w:t>
      </w:r>
    </w:p>
    <w:p>
      <w:pPr>
        <w:pStyle w:val="Compact"/>
        <w:numPr>
          <w:ilvl w:val="0"/>
          <w:numId w:val="1002"/>
        </w:numPr>
      </w:pPr>
      <w:r>
        <w:t xml:space="preserve">Today, querying a county file drop means an SSIS package and a staging table first. Here</w:t>
      </w:r>
      <w:r>
        <w:t xml:space="preserve"> </w:t>
      </w:r>
      <w:r>
        <w:rPr>
          <w:b/>
          <w:bCs/>
        </w:rPr>
        <w:t xml:space="preserve">the file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 table.</w:t>
      </w:r>
    </w:p>
    <w:p>
      <w:pPr>
        <w:pStyle w:val="Compact"/>
        <w:numPr>
          <w:ilvl w:val="0"/>
          <w:numId w:val="1002"/>
        </w:numPr>
      </w:pPr>
      <w:r>
        <w:t xml:space="preserve">For the M&amp;O team: there is no database to patch and no service to keep alive. Operating Bronze is bucket IAM and lifecycle policies, not servers.</w:t>
      </w:r>
    </w:p>
    <w:p>
      <w:pPr>
        <w:pStyle w:val="Compact"/>
        <w:numPr>
          <w:ilvl w:val="0"/>
          <w:numId w:val="1002"/>
        </w:numPr>
      </w:pPr>
      <w:r>
        <w:t xml:space="preserve">The honest trade-off: external tables get</w:t>
      </w:r>
      <w:r>
        <w:t xml:space="preserve"> </w:t>
      </w:r>
      <w:r>
        <w:rPr>
          <w:b/>
          <w:bCs/>
        </w:rPr>
        <w:t xml:space="preserve">no BigQuery storage optimizations</w:t>
      </w:r>
      <w:r>
        <w:t xml:space="preserve"> </w:t>
      </w:r>
      <w:r>
        <w:t xml:space="preserve">— no native clustering, slower repeated scans, and the source of truth lives outside BigQuery. That is precisely why your Silver and Gold become</w:t>
      </w:r>
      <w:r>
        <w:t xml:space="preserve"> </w:t>
      </w:r>
      <w:r>
        <w:rPr>
          <w:i/>
          <w:iCs/>
        </w:rPr>
        <w:t xml:space="preserve">managed</w:t>
      </w:r>
      <w:r>
        <w:t xml:space="preserve"> </w:t>
      </w:r>
      <w:r>
        <w:t xml:space="preserve">tables built by Dataform. Bronze is for landing and exploring; Silver/Gold are for serving.</w:t>
      </w:r>
    </w:p>
    <w:bookmarkEnd w:id="11"/>
    <w:bookmarkStart w:id="15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t xml:space="preserve">You need the</w:t>
      </w:r>
      <w: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you created on Day 1 morning (DIN §3). If you don't have it: in the BigQuery</w:t>
      </w:r>
      <w:r>
        <w:t xml:space="preserve"> </w:t>
      </w:r>
      <w:r>
        <w:rPr>
          <w:b/>
          <w:bCs/>
        </w:rPr>
        <w:t xml:space="preserve">Explorer</w:t>
      </w:r>
      <w:r>
        <w:t xml:space="preserve"> </w:t>
      </w:r>
      <w:r>
        <w:t xml:space="preserve">pane, click your project, then the three-dot menu →</w:t>
      </w:r>
      <w:r>
        <w:t xml:space="preserve"> </w:t>
      </w:r>
      <w:r>
        <w:rPr>
          <w:b/>
          <w:bCs/>
        </w:rPr>
        <w:t xml:space="preserve">Create dataset</w:t>
      </w:r>
      <w:r>
        <w:t xml:space="preserve"> </w:t>
      </w:r>
      <w:r>
        <w:t xml:space="preserve">→ Dataset ID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dataset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BigQuery console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 the SQL file for this activity — the local copy in this folder,</w:t>
      </w:r>
      <w:r>
        <w:t xml:space="preserve"> </w:t>
      </w:r>
      <w:hyperlink r:id="rId12">
        <w:r>
          <w:rPr>
            <w:rStyle w:val="VerbatimChar"/>
          </w:rPr>
          <w:t xml:space="preserve">external_hive_example.sql</w:t>
        </w:r>
      </w:hyperlink>
      <w:r>
        <w:t xml:space="preserve"> </w:t>
      </w:r>
      <w:r>
        <w:t xml:space="preserve">(byte-identical to the</w:t>
      </w:r>
      <w:r>
        <w:t xml:space="preserve"> </w:t>
      </w:r>
      <w:hyperlink r:id="rId13">
        <w:r>
          <w:rPr>
            <w:rStyle w:val="Hyperlink"/>
          </w:rPr>
          <w:t xml:space="preserve">course repo's copy</w:t>
        </w:r>
      </w:hyperlink>
      <w:r>
        <w:t xml:space="preserve">; the DIN page links the same file).</w:t>
      </w:r>
    </w:p>
    <w:p>
      <w:pPr>
        <w:pStyle w:val="Compact"/>
        <w:numPr>
          <w:ilvl w:val="0"/>
          <w:numId w:val="1003"/>
        </w:numPr>
      </w:pPr>
      <w:r>
        <w:t xml:space="preserve">In another browser tab, open the bucket browser:</w:t>
      </w:r>
      <w:r>
        <w:t xml:space="preserve"> </w:t>
      </w:r>
      <w:hyperlink r:id="rId14">
        <w:r>
          <w:rPr>
            <w:rStyle w:val="Hyperlink"/>
          </w:rPr>
          <w:t xml:space="preserve">https://console.cloud.google.com/storage/browser/jwd-gcp-demos/orders_partitioned</w:t>
        </w:r>
      </w:hyperlink>
    </w:p>
    <w:bookmarkEnd w:id="15"/>
    <w:bookmarkStart w:id="16" w:name="step-1--look-at-the-bucket-first"/>
    <w:p>
      <w:pPr>
        <w:pStyle w:val="Heading2"/>
      </w:pPr>
      <w:r>
        <w:t xml:space="preserve">Step 1 — Look at the bucket first</w:t>
      </w:r>
    </w:p>
    <w:p>
      <w:pPr>
        <w:pStyle w:val="FirstParagraph"/>
      </w:pPr>
      <w:r>
        <w:t xml:space="preserve">Browse</w:t>
      </w:r>
      <w:r>
        <w:t xml:space="preserve"> </w:t>
      </w:r>
      <w:r>
        <w:rPr>
          <w:rStyle w:val="VerbatimChar"/>
        </w:rPr>
        <w:t xml:space="preserve">gs://jwd-gcp-demos/orders_partitioned/</w:t>
      </w:r>
      <w:r>
        <w:t xml:space="preserve"> </w:t>
      </w:r>
      <w:r>
        <w:t xml:space="preserve">before creating anything, and answer for yourself:</w:t>
      </w:r>
    </w:p>
    <w:p>
      <w:pPr>
        <w:pStyle w:val="Compact"/>
        <w:numPr>
          <w:ilvl w:val="0"/>
          <w:numId w:val="1004"/>
        </w:numPr>
      </w:pPr>
      <w:r>
        <w:t xml:space="preserve">How many "directories" are there in the bucket?</w:t>
      </w:r>
    </w:p>
    <w:p>
      <w:pPr>
        <w:pStyle w:val="Compact"/>
        <w:numPr>
          <w:ilvl w:val="0"/>
          <w:numId w:val="1004"/>
        </w:numPr>
      </w:pPr>
      <w:r>
        <w:t xml:space="preserve">How many files does each directory hold?</w:t>
      </w:r>
    </w:p>
    <w:p>
      <w:pPr>
        <w:pStyle w:val="Compact"/>
        <w:numPr>
          <w:ilvl w:val="0"/>
          <w:numId w:val="1004"/>
        </w:numPr>
      </w:pPr>
      <w:r>
        <w:t xml:space="preserve">What does the naming of the directories imply?</w:t>
      </w:r>
    </w:p>
    <w:p>
      <w:pPr>
        <w:pStyle w:val="FirstParagraph"/>
      </w:pPr>
      <w:r>
        <w:t xml:space="preserve">What you are seeing is a</w:t>
      </w:r>
      <w:r>
        <w:t xml:space="preserve"> </w:t>
      </w:r>
      <w:r>
        <w:rPr>
          <w:b/>
          <w:bCs/>
        </w:rPr>
        <w:t xml:space="preserve">Hive-partitioned dataset living in a data lake on GCS</w:t>
      </w:r>
      <w:r>
        <w:t xml:space="preserve">: directories named</w:t>
      </w:r>
      <w:r>
        <w:t xml:space="preserve"> </w:t>
      </w:r>
      <w:r>
        <w:rPr>
          <w:rStyle w:val="VerbatimChar"/>
        </w:rPr>
        <w:t xml:space="preserve">order_date=YYYY-MM-DD/</w:t>
      </w:r>
      <w:r>
        <w:t xml:space="preserve"> </w:t>
      </w:r>
      <w:r>
        <w:t xml:space="preserve">— the Hive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partition layout — each holding Parquet file(s). Spotting that naming convention yourself is the payoff: the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is metadata.</w:t>
      </w:r>
    </w:p>
    <w:bookmarkEnd w:id="16"/>
    <w:bookmarkStart w:id="17" w:name="step-2--create-the-external-table"/>
    <w:p>
      <w:pPr>
        <w:pStyle w:val="Heading2"/>
      </w:pPr>
      <w:r>
        <w:t xml:space="preserve">Step 2 — Create the external table</w:t>
      </w:r>
    </w:p>
    <w:p>
      <w:pPr>
        <w:pStyle w:val="Compact"/>
        <w:numPr>
          <w:ilvl w:val="0"/>
          <w:numId w:val="1005"/>
        </w:numPr>
      </w:pPr>
      <w:r>
        <w:t xml:space="preserve">In the BigQuery</w:t>
      </w:r>
      <w:r>
        <w:t xml:space="preserve"> </w:t>
      </w:r>
      <w:r>
        <w:rPr>
          <w:b/>
          <w:bCs/>
        </w:rPr>
        <w:t xml:space="preserve">Explorer</w:t>
      </w:r>
      <w:r>
        <w:t xml:space="preserve"> </w:t>
      </w:r>
      <w:r>
        <w:t xml:space="preserve">pane, select 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dataset.</w:t>
      </w:r>
    </w:p>
    <w:p>
      <w:pPr>
        <w:pStyle w:val="Compact"/>
        <w:numPr>
          <w:ilvl w:val="0"/>
          <w:numId w:val="1005"/>
        </w:numPr>
      </w:pPr>
      <w:r>
        <w:t xml:space="preserve">From its three-dot menu, select</w:t>
      </w:r>
      <w:r>
        <w:t xml:space="preserve"> </w:t>
      </w:r>
      <w:r>
        <w:rPr>
          <w:b/>
          <w:bCs/>
        </w:rPr>
        <w:t xml:space="preserve">Create 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Create table from</w:t>
      </w:r>
      <w:r>
        <w:t xml:space="preserve">, select</w:t>
      </w:r>
      <w:r>
        <w:t xml:space="preserve"> </w:t>
      </w:r>
      <w:r>
        <w:rPr>
          <w:b/>
          <w:bCs/>
        </w:rPr>
        <w:t xml:space="preserve">Google Cloud Storage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Select file from GCS bucket or use a URI pattern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jwd-gcp-demos/orders_partitioned/*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File format</w:t>
      </w:r>
      <w:r>
        <w:t xml:space="preserve">, select</w:t>
      </w:r>
      <w:r>
        <w:t xml:space="preserve"> </w:t>
      </w:r>
      <w:r>
        <w:rPr>
          <w:b/>
          <w:bCs/>
        </w:rPr>
        <w:t xml:space="preserve">Parquet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Source data partitioning</w:t>
      </w:r>
      <w:r>
        <w:t xml:space="preserve">. (Leave the partition inference mode at its default, automatically infer types.)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Select Source URI Prefix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gs://jwd-gcp-demos/orders_partitioned/</w:t>
      </w:r>
    </w:p>
    <w:p>
      <w:pPr>
        <w:pStyle w:val="Compact"/>
        <w:numPr>
          <w:ilvl w:val="0"/>
          <w:numId w:val="1005"/>
        </w:numPr>
      </w:pPr>
      <w:r>
        <w:t xml:space="preserve">Under Destination: in</w:t>
      </w:r>
      <w:r>
        <w:t xml:space="preserve"> </w:t>
      </w:r>
      <w:r>
        <w:rPr>
          <w:b/>
          <w:bCs/>
        </w:rPr>
        <w:t xml:space="preserve">Table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ext_part</w:t>
      </w:r>
      <w:r>
        <w:t xml:space="preserve">; set</w:t>
      </w:r>
      <w:r>
        <w:t xml:space="preserve"> </w:t>
      </w:r>
      <w:r>
        <w:rPr>
          <w:b/>
          <w:bCs/>
        </w:rPr>
        <w:t xml:space="preserve">Table type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External 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Schema</w:t>
      </w:r>
      <w:r>
        <w:t xml:space="preserve">, select</w:t>
      </w:r>
      <w:r>
        <w:t xml:space="preserve"> </w:t>
      </w:r>
      <w:r>
        <w:rPr>
          <w:b/>
          <w:bCs/>
        </w:rPr>
        <w:t xml:space="preserve">Auto detect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Open the new table's details. Notice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there: no storage size of its own. The table is a metadata pointer at</w:t>
      </w:r>
      <w:r>
        <w:t xml:space="preserve"> </w:t>
      </w:r>
      <w:r>
        <w:rPr>
          <w:rStyle w:val="VerbatimChar"/>
        </w:rPr>
        <w:t xml:space="preserve">gs://jwd-gcp-demos/orders_partitioned/</w:t>
      </w:r>
      <w:r>
        <w:t xml:space="preserve"> </w:t>
      </w:r>
      <w:r>
        <w:t xml:space="preserve">— delete the table later and every file in the bucket is untouched.</w:t>
      </w:r>
    </w:p>
    <w:bookmarkEnd w:id="17"/>
    <w:bookmarkStart w:id="18" w:name="step-3--query-it-and-watch-the-bytes"/>
    <w:p>
      <w:pPr>
        <w:pStyle w:val="Heading2"/>
      </w:pPr>
      <w:r>
        <w:t xml:space="preserve">Step 3 — Query it, and watch the bytes</w:t>
      </w:r>
    </w:p>
    <w:p>
      <w:pPr>
        <w:pStyle w:val="FirstParagraph"/>
      </w:pPr>
      <w:r>
        <w:t xml:space="preserve">Run the three queries from</w:t>
      </w:r>
      <w:r>
        <w:t xml:space="preserve"> </w:t>
      </w:r>
      <w:r>
        <w:rPr>
          <w:rStyle w:val="VerbatimChar"/>
        </w:rPr>
        <w:t xml:space="preserve">external_hive_example.sql</w:t>
      </w:r>
      <w:r>
        <w:t xml:space="preserve"> </w:t>
      </w:r>
      <w:r>
        <w:t xml:space="preserve">one at a time. After each run, open the job's</w:t>
      </w:r>
      <w:r>
        <w:t xml:space="preserve"> </w:t>
      </w:r>
      <w:r>
        <w:rPr>
          <w:b/>
          <w:bCs/>
        </w:rPr>
        <w:t xml:space="preserve">Execution details</w:t>
      </w:r>
      <w:r>
        <w:t xml:space="preserve"> </w:t>
      </w:r>
      <w:r>
        <w:t xml:space="preserve">and note how much data was processed.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Query the external 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* FROM class.ext_part</w:t>
      </w:r>
      <w:r>
        <w:t xml:space="preserve"> </w:t>
      </w:r>
      <w:r>
        <w:t xml:space="preserve">Full scan: BigQuery opens every Parquet file in every partition folder. Rows returned = the whole dataset.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Query with a WHERE on a data column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WHERE order_num="68610383-54"</w:t>
      </w:r>
      <w:r>
        <w:t xml:space="preserve"> </w:t>
      </w:r>
      <w:r>
        <w:t xml:space="preserve">Still scans (almost) everything.</w:t>
      </w:r>
      <w:r>
        <w:t xml:space="preserve"> </w:t>
      </w:r>
      <w:r>
        <w:rPr>
          <w:rStyle w:val="VerbatimChar"/>
        </w:rPr>
        <w:t xml:space="preserve">order_num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column, not the partition key, so BigQuery must open every file to find that order.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does not automatically save you money — say that sentence to your neighbor.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Query on the partition column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WHERE order_date="2018-01-01"</w:t>
      </w:r>
      <w:r>
        <w:t xml:space="preserve"> </w:t>
      </w:r>
      <w:r>
        <w:t xml:space="preserve">Bytes processed drops dramatically. Because you checked</w:t>
      </w:r>
      <w:r>
        <w:t xml:space="preserve"> </w:t>
      </w:r>
      <w:r>
        <w:rPr>
          <w:b/>
          <w:bCs/>
        </w:rPr>
        <w:t xml:space="preserve">Source data partitioning</w:t>
      </w:r>
      <w:r>
        <w:t xml:space="preserve">, BigQuery inferred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 </w:t>
      </w:r>
      <w:r>
        <w:t xml:space="preserve">from the folder names and reads</w:t>
      </w:r>
      <w:r>
        <w:t xml:space="preserve"> </w:t>
      </w:r>
      <w:r>
        <w:rPr>
          <w:b/>
          <w:bCs/>
        </w:rPr>
        <w:t xml:space="preserve">only the matching partition's files</w:t>
      </w:r>
      <w:r>
        <w:t xml:space="preserve">.</w:t>
      </w:r>
    </w:p>
    <w:p>
      <w:pPr>
        <w:pStyle w:val="FirstParagraph"/>
      </w:pPr>
      <w:r>
        <w:t xml:space="preserve">That third query is the lesson:</w:t>
      </w:r>
      <w:r>
        <w:t xml:space="preserve"> </w:t>
      </w:r>
      <w:r>
        <w:rPr>
          <w:b/>
          <w:bCs/>
        </w:rPr>
        <w:t xml:space="preserve">partition pruning on raw files in a bucket — and no load job ever ran.</w:t>
      </w:r>
    </w:p>
    <w:bookmarkEnd w:id="18"/>
    <w:bookmarkStart w:id="19" w:name="common-gotchas"/>
    <w:p>
      <w:pPr>
        <w:pStyle w:val="Heading2"/>
      </w:pPr>
      <w:r>
        <w:t xml:space="preserve">Common gotchas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two URI fields want different formats.</w:t>
      </w:r>
      <w:r>
        <w:t xml:space="preserve"> </w:t>
      </w:r>
      <w:r>
        <w:t xml:space="preserve">The file pattern is</w:t>
      </w:r>
      <w:r>
        <w:t xml:space="preserve"> </w:t>
      </w:r>
      <w:r>
        <w:rPr>
          <w:rStyle w:val="VerbatimChar"/>
        </w:rPr>
        <w:t xml:space="preserve">jwd-gcp-demos/orders_partitioned/*</w:t>
      </w:r>
      <w:r>
        <w:t xml:space="preserve"> </w:t>
      </w:r>
      <w:r>
        <w:t xml:space="preserve">— with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wildcard, no</w:t>
      </w:r>
      <w:r>
        <w:t xml:space="preserve"> </w:t>
      </w:r>
      <w:r>
        <w:rPr>
          <w:rStyle w:val="VerbatimChar"/>
        </w:rPr>
        <w:t xml:space="preserve">gs://</w:t>
      </w:r>
      <w:r>
        <w:t xml:space="preserve">. The Source URI Prefix is</w:t>
      </w:r>
      <w:r>
        <w:t xml:space="preserve"> </w:t>
      </w:r>
      <w:r>
        <w:rPr>
          <w:rStyle w:val="VerbatimChar"/>
        </w:rPr>
        <w:t xml:space="preserve">gs://jwd-gcp-demos/orders_partitioned/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gs://</w:t>
      </w:r>
      <w:r>
        <w:t xml:space="preserve">, no wildcard. Swap or blur them and table creation fails.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forget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.</w:t>
      </w:r>
      <w:r>
        <w:t xml:space="preserve"> </w:t>
      </w:r>
      <w:r>
        <w:t xml:space="preserve">Without the wildcard, BigQuery can't match the files inside the partition folders.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skip the "Source data partitioning" checkbox.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 </w:t>
      </w:r>
      <w:r>
        <w:t xml:space="preserve">never becomes a column — the third query errors on an unrecognized name instead of pruning partitions.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Schema: use Auto detect, and relax.</w:t>
      </w:r>
      <w:r>
        <w:t xml:space="preserve"> </w:t>
      </w:r>
      <w:r>
        <w:t xml:space="preserve">Parquet files carry their schema inside the file, so autodetect is safe here — the CSV autodetect surprises you saw on Day 1 don't apply to Parquet.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Table type must be External table.</w:t>
      </w:r>
      <w:r>
        <w:t xml:space="preserve"> </w:t>
      </w:r>
      <w:r>
        <w:t xml:space="preserve">Otherwise BigQuery tries to</w:t>
      </w:r>
      <w:r>
        <w:t xml:space="preserve"> </w:t>
      </w:r>
      <w:r>
        <w:rPr>
          <w:i/>
          <w:iCs/>
        </w:rPr>
        <w:t xml:space="preserve">load</w:t>
      </w:r>
      <w:r>
        <w:t xml:space="preserve"> </w:t>
      </w:r>
      <w:r>
        <w:t xml:space="preserve">the data into managed storage instead of pointing at it — the opposite of what this activity is about.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SQL assumes your dataset is literally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.</w:t>
      </w:r>
      <w:r>
        <w:t xml:space="preserve"> </w:t>
      </w:r>
      <w:r>
        <w:t xml:space="preserve">If yours is named differently, adjust</w:t>
      </w:r>
      <w:r>
        <w:t xml:space="preserve"> </w:t>
      </w:r>
      <w:r>
        <w:rPr>
          <w:rStyle w:val="VerbatimChar"/>
        </w:rPr>
        <w:t xml:space="preserve">class.ext_part</w:t>
      </w:r>
      <w:r>
        <w:t xml:space="preserve"> </w:t>
      </w:r>
      <w:r>
        <w:t xml:space="preserve">in the queries.</w:t>
      </w:r>
    </w:p>
    <w:bookmarkEnd w:id="19"/>
    <w:bookmarkStart w:id="20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ext_part</w:t>
      </w:r>
      <w:r>
        <w:t xml:space="preserve"> </w:t>
      </w:r>
      <w:r>
        <w:t xml:space="preserve">exists in my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dataset, and its details show an external source URI — not stored bytes.</w:t>
      </w:r>
    </w:p>
    <w:p>
      <w:pPr>
        <w:pStyle w:val="Compact"/>
        <w:numPr>
          <w:ilvl w:val="0"/>
          <w:numId w:val="1009"/>
        </w:numPr>
      </w:pPr>
      <w:r>
        <w:t xml:space="preserve">Query 1 returned the full dataset (all partitions, every file).</w:t>
      </w:r>
    </w:p>
    <w:p>
      <w:pPr>
        <w:pStyle w:val="Compact"/>
        <w:numPr>
          <w:ilvl w:val="0"/>
          <w:numId w:val="1010"/>
        </w:numPr>
      </w:pPr>
      <w:r>
        <w:t xml:space="preserve">Query 2 (</w:t>
      </w:r>
      <w:r>
        <w:rPr>
          <w:rStyle w:val="VerbatimChar"/>
        </w:rPr>
        <w:t xml:space="preserve">order_num</w:t>
      </w:r>
      <w:r>
        <w:t xml:space="preserve">) scanned roughly the same bytes as query 1 — and I can explain why.</w:t>
      </w:r>
    </w:p>
    <w:p>
      <w:pPr>
        <w:pStyle w:val="Compact"/>
        <w:numPr>
          <w:ilvl w:val="0"/>
          <w:numId w:val="1011"/>
        </w:numPr>
      </w:pPr>
      <w:r>
        <w:t xml:space="preserve">Query 3 (</w:t>
      </w:r>
      <w:r>
        <w:rPr>
          <w:rStyle w:val="VerbatimChar"/>
        </w:rPr>
        <w:t xml:space="preserve">order_date</w:t>
      </w:r>
      <w:r>
        <w:t xml:space="preserve">) processed dramatically fewer bytes — and I can explain why.</w:t>
      </w:r>
    </w:p>
    <w:p>
      <w:pPr>
        <w:pStyle w:val="Compact"/>
        <w:numPr>
          <w:ilvl w:val="0"/>
          <w:numId w:val="1012"/>
        </w:numPr>
      </w:pPr>
      <w:r>
        <w:t xml:space="preserve">I can say why this is "Bronze," and what would turn this data into Silver (a managed, cleaned BigQuery table — built by Dataform).</w:t>
      </w:r>
    </w:p>
    <w:bookmarkEnd w:id="20"/>
    <w:bookmarkStart w:id="21" w:name="if-you-finish-early"/>
    <w:p>
      <w:pPr>
        <w:pStyle w:val="Heading2"/>
      </w:pPr>
      <w:r>
        <w:t xml:space="preserve">If you finish early</w:t>
      </w:r>
    </w:p>
    <w:p>
      <w:pPr>
        <w:pStyle w:val="Compact"/>
        <w:numPr>
          <w:ilvl w:val="0"/>
          <w:numId w:val="1013"/>
        </w:numPr>
      </w:pPr>
      <w:r>
        <w:t xml:space="preserve">Pick another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 </w:t>
      </w:r>
      <w:r>
        <w:t xml:space="preserve">folder you saw in the bucket browser and run the partition query for that date; compare bytes processed.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SELECT order_date, COUNT(*) FROM class.ext_part GROUP BY order_date</w:t>
      </w:r>
      <w:r>
        <w:t xml:space="preserve"> </w:t>
      </w:r>
      <w:r>
        <w:t xml:space="preserve">and predict the bytes before you run it — why is it a full scan?</w:t>
      </w:r>
    </w:p>
    <w:p>
      <w:pPr>
        <w:pStyle w:val="Compact"/>
        <w:numPr>
          <w:ilvl w:val="0"/>
          <w:numId w:val="1013"/>
        </w:numPr>
      </w:pPr>
      <w:r>
        <w:t xml:space="preserve">Compare the bytes processed of query 2 and query 3 side by side in your job history. That ratio is the argument you'll make in your own design reviews for partitioning Bronze by date.</w:t>
      </w:r>
    </w:p>
    <w:p>
      <w:pPr>
        <w:pStyle w:val="Compact"/>
        <w:numPr>
          <w:ilvl w:val="0"/>
          <w:numId w:val="1013"/>
        </w:numPr>
      </w:pPr>
      <w:r>
        <w:t xml:space="preserve">Reopen the table details and study the external data configuration — this is the definition you'd script later with</w:t>
      </w:r>
      <w:r>
        <w:t xml:space="preserve"> </w:t>
      </w:r>
      <w:r>
        <w:rPr>
          <w:rStyle w:val="VerbatimChar"/>
        </w:rPr>
        <w:t xml:space="preserve">bq mkdef</w:t>
      </w:r>
      <w:r>
        <w:t xml:space="preserve"> </w:t>
      </w:r>
      <w:r>
        <w:t xml:space="preserve">or DDL.</w:t>
      </w:r>
    </w:p>
    <w:bookmarkEnd w:id="21"/>
    <w:bookmarkStart w:id="22" w:name="what-this-replaces-in-your-current-stack"/>
    <w:p>
      <w:pPr>
        <w:pStyle w:val="Heading2"/>
      </w:pPr>
      <w:r>
        <w:t xml:space="preserve">What this replaces in your current stack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SSIS package + staging table</w:t>
      </w:r>
      <w:r>
        <w:t xml:space="preserve"> </w:t>
      </w:r>
      <w:r>
        <w:t xml:space="preserve">you build today before anyone can query a county or vendor file drop. Bronze is queryable the moment files land.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"copy it into the warehouse before it's useful" reflex.</w:t>
      </w:r>
      <w:r>
        <w:t xml:space="preserve"> </w:t>
      </w:r>
      <w:r>
        <w:t xml:space="preserve">Copy when you have a reason (performance, governance, conformance) — that's Silver/Gold — not as a reflex.</w:t>
      </w:r>
    </w:p>
    <w:p>
      <w:pPr>
        <w:pStyle w:val="Compact"/>
        <w:numPr>
          <w:ilvl w:val="0"/>
          <w:numId w:val="1014"/>
        </w:numPr>
      </w:pPr>
      <w:r>
        <w:t xml:space="preserve">A preview of this afternoon: Iceberg upgrades exactly this pattern — what if the files in the bucket could also get ACID semantics and schema evolution? Keep</w:t>
      </w:r>
      <w:r>
        <w:t xml:space="preserve"> </w:t>
      </w:r>
      <w:r>
        <w:rPr>
          <w:rStyle w:val="VerbatimChar"/>
        </w:rPr>
        <w:t xml:space="preserve">ext_part</w:t>
      </w:r>
      <w:r>
        <w:t xml:space="preserve"> </w:t>
      </w:r>
      <w:r>
        <w:t xml:space="preserve">in mind.</w:t>
      </w:r>
    </w:p>
    <w:bookmarkEnd w:id="22"/>
    <w:bookmarkStart w:id="26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15"/>
        </w:numPr>
      </w:pPr>
      <w:hyperlink r:id="rId23">
        <w:r>
          <w:rPr>
            <w:rStyle w:val="Hyperlink"/>
          </w:rPr>
          <w:t xml:space="preserve">Create Cloud Storage external tables</w:t>
        </w:r>
      </w:hyperlink>
      <w:r>
        <w:t xml:space="preserve"> </w:t>
      </w:r>
      <w:r>
        <w:t xml:space="preserve">— the console fields you just used, plus the DDL/</w:t>
      </w:r>
      <w:r>
        <w:rPr>
          <w:rStyle w:val="VerbatimChar"/>
        </w:rPr>
        <w:t xml:space="preserve">bq</w:t>
      </w:r>
      <w:r>
        <w:t xml:space="preserve"> </w:t>
      </w:r>
      <w:r>
        <w:t xml:space="preserve">equivalents</w:t>
      </w:r>
    </w:p>
    <w:p>
      <w:pPr>
        <w:pStyle w:val="Compact"/>
        <w:numPr>
          <w:ilvl w:val="0"/>
          <w:numId w:val="1015"/>
        </w:numPr>
      </w:pPr>
      <w:hyperlink r:id="rId24">
        <w:r>
          <w:rPr>
            <w:rStyle w:val="Hyperlink"/>
          </w:rPr>
          <w:t xml:space="preserve">Manage external Hive partitioned data</w:t>
        </w:r>
      </w:hyperlink>
      <w:r>
        <w:t xml:space="preserve"> </w:t>
      </w:r>
      <w:r>
        <w:t xml:space="preserve">— partition layouts, inference modes, pruning rules</w:t>
      </w:r>
    </w:p>
    <w:p>
      <w:pPr>
        <w:pStyle w:val="Compact"/>
        <w:numPr>
          <w:ilvl w:val="0"/>
          <w:numId w:val="1015"/>
        </w:numPr>
      </w:pPr>
      <w:hyperlink r:id="rId25">
        <w:r>
          <w:rPr>
            <w:rStyle w:val="Hyperlink"/>
          </w:rPr>
          <w:t xml:space="preserve">Introduction to BigLake tables</w:t>
        </w:r>
      </w:hyperlink>
      <w:r>
        <w:t xml:space="preserve"> </w:t>
      </w:r>
      <w:r>
        <w:t xml:space="preserve">— the governed upgrade path for external tables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Do-It-Now (DIN) activities page</w:t>
        </w:r>
      </w:hyperlink>
      <w:r>
        <w:t xml:space="preserve"> </w:t>
      </w:r>
      <w:r>
        <w:t xml:space="preserve">— §30 is this activity; §3 created 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external_hive_example.sql" TargetMode="External" /><Relationship Type="http://schemas.openxmlformats.org/officeDocument/2006/relationships/hyperlink" Id="rId25" Target="https://cloud.google.com/bigquery/docs/biglake-intro" TargetMode="External" /><Relationship Type="http://schemas.openxmlformats.org/officeDocument/2006/relationships/hyperlink" Id="rId23" Target="https://cloud.google.com/bigquery/docs/external-data-cloud-storage" TargetMode="External" /><Relationship Type="http://schemas.openxmlformats.org/officeDocument/2006/relationships/hyperlink" Id="rId24" Target="https://cloud.google.com/bigquery/docs/hive-partitioned-queries" TargetMode="External" /><Relationship Type="http://schemas.openxmlformats.org/officeDocument/2006/relationships/hyperlink" Id="rId14" Target="https://console.cloud.google.com/storage/browser/jwd-gcp-demos/orders_partitioned" TargetMode="External" /><Relationship Type="http://schemas.openxmlformats.org/officeDocument/2006/relationships/hyperlink" Id="rId13" Target="https://raw.githubusercontent.com/roitraining/gcp-demos/main/bigquery/external_hive_example.sql" TargetMode="External" /><Relationship Type="http://schemas.openxmlformats.org/officeDocument/2006/relationships/hyperlink" Id="rId9" Target="https://roitraining.github.io/gcp-demos/bigque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ternal_hive_example.sql" TargetMode="External" /><Relationship Type="http://schemas.openxmlformats.org/officeDocument/2006/relationships/hyperlink" Id="rId25" Target="https://cloud.google.com/bigquery/docs/biglake-intro" TargetMode="External" /><Relationship Type="http://schemas.openxmlformats.org/officeDocument/2006/relationships/hyperlink" Id="rId23" Target="https://cloud.google.com/bigquery/docs/external-data-cloud-storage" TargetMode="External" /><Relationship Type="http://schemas.openxmlformats.org/officeDocument/2006/relationships/hyperlink" Id="rId24" Target="https://cloud.google.com/bigquery/docs/hive-partitioned-queries" TargetMode="External" /><Relationship Type="http://schemas.openxmlformats.org/officeDocument/2006/relationships/hyperlink" Id="rId14" Target="https://console.cloud.google.com/storage/browser/jwd-gcp-demos/orders_partitioned" TargetMode="External" /><Relationship Type="http://schemas.openxmlformats.org/officeDocument/2006/relationships/hyperlink" Id="rId13" Target="https://raw.githubusercontent.com/roitraining/gcp-demos/main/bigquery/external_hive_example.sql" TargetMode="External" /><Relationship Type="http://schemas.openxmlformats.org/officeDocument/2006/relationships/hyperlink" Id="rId9" Target="https://roitraining.github.io/gcp-demos/bigque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