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f8d4b3176ab76429b1df4ad90795bd663e696dd"/>
    <w:p>
      <w:pPr>
        <w:pStyle w:val="Heading1"/>
      </w:pPr>
      <w:r>
        <w:t xml:space="preserve">BQML and the Power BI last mile — student notes</w:t>
      </w:r>
    </w:p>
    <w:p>
      <w:pPr>
        <w:pStyle w:val="FirstParagraph"/>
      </w:pPr>
      <w:r>
        <w:t xml:space="preserve">Student notes for Day 2 (Tue Oct 6), 2:50–3:20 PM CT: a short live demo of BigQuery ML, then how your Gold marts reach the Power BI reports the state already runs on.</w:t>
      </w:r>
    </w:p>
    <w:bookmarkStart w:id="9" w:name="X186acc06e0e81de4e03b7de5cb230fc1a6471ca"/>
    <w:p>
      <w:pPr>
        <w:pStyle w:val="Heading2"/>
      </w:pPr>
      <w:r>
        <w:t xml:space="preserve">BigQuery ML: ML where the data lives, in SQL</w:t>
      </w:r>
    </w:p>
    <w:p>
      <w:pPr>
        <w:pStyle w:val="FirstParagraph"/>
      </w:pPr>
      <w:r>
        <w:t xml:space="preserve">Everything over these two days has been about not moving data — Bronze stays in the bucket, transforms run as SQL inside BigQuery. Machine learning gets the same treatment: no CSV export, no Python notebook to secure, no separate ML platform to patch. A model is an object in your dataset, created by a SQL statement, and it shows up in the Explorer pane next to your tables — with IAM, Information Schema entries, and a place in Dataform pipelines if you want one.</w:t>
      </w:r>
    </w:p>
    <w:p>
      <w:pPr>
        <w:pStyle w:val="BodyText"/>
      </w:pPr>
      <w:r>
        <w:t xml:space="preserve">The demo trains a linear regression that predicts a penguin's body mass from its bill and flipper measurements, using the public</w:t>
      </w:r>
      <w:r>
        <w:t xml:space="preserve"> </w:t>
      </w:r>
      <w:r>
        <w:rPr>
          <w:rStyle w:val="VerbatimChar"/>
        </w:rPr>
        <w:t xml:space="preserve">bigquery-public-data.ml_datasets.penguins</w:t>
      </w:r>
      <w:r>
        <w:t xml:space="preserve"> </w:t>
      </w:r>
      <w:r>
        <w:t xml:space="preserve">table (~344 rows). Three SQL statements do the whole job — train, evaluate, predict:</w:t>
      </w:r>
    </w:p>
    <w:p>
      <w:pPr>
        <w:pStyle w:val="SourceCode"/>
      </w:pPr>
      <w:r>
        <w:rPr>
          <w:rStyle w:val="CommentTok"/>
        </w:rPr>
        <w:t xml:space="preserve">-- 1. TRAIN (runs ~1–2 minutes) — `class` is any dataset you can create models in,</w:t>
      </w:r>
      <w:r>
        <w:br/>
      </w:r>
      <w:r>
        <w:rPr>
          <w:rStyle w:val="CommentTok"/>
        </w:rPr>
        <w:t xml:space="preserve">-- e.g. the `class` dataset you created on Day 1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MODEL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.penguins_model</w:t>
      </w:r>
      <w:r>
        <w:br/>
      </w:r>
      <w:r>
        <w:rPr>
          <w:rStyle w:val="NormalTok"/>
        </w:rPr>
        <w:t xml:space="preserve">OPTIONS(model_type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'linear_reg'</w:t>
      </w:r>
      <w:r>
        <w:rPr>
          <w:rStyle w:val="NormalTok"/>
        </w:rPr>
        <w:t xml:space="preserve">, input_label_cols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'body_mass_g'</w:t>
      </w:r>
      <w:r>
        <w:rPr>
          <w:rStyle w:val="NormalTok"/>
        </w:rPr>
        <w:t xml:space="preserve">])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culmen_length_mm, culmen_depth_mm, flipper_length_mm,</w:t>
      </w:r>
      <w:r>
        <w:br/>
      </w:r>
      <w:r>
        <w:rPr>
          <w:rStyle w:val="NormalTok"/>
        </w:rPr>
        <w:t xml:space="preserve">       species, island, sex, body_mass_g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`bigquery</w:t>
      </w:r>
      <w:r>
        <w:rPr>
          <w:rStyle w:val="OperatorTok"/>
        </w:rPr>
        <w:t xml:space="preserve">-</w:t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-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.ml_datasets.penguins`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body_mass_g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-- 2. EVALUATE — the unit test for a model (seconds)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ML.EVALUATE(MODEL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.penguins_model);</w:t>
      </w:r>
      <w:r>
        <w:br/>
      </w:r>
      <w:r>
        <w:br/>
      </w:r>
      <w:r>
        <w:rPr>
          <w:rStyle w:val="CommentTok"/>
        </w:rPr>
        <w:t xml:space="preserve">-- 3. PREDICT — actual vs predicted, side by side (seconds)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species, body_mass_g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actual_grams,</w:t>
      </w:r>
      <w:r>
        <w:br/>
      </w:r>
      <w:r>
        <w:rPr>
          <w:rStyle w:val="NormalTok"/>
        </w:rPr>
        <w:t xml:space="preserve">       predicted_body_mass_g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predicted_grams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ML.PREDICT(MODEL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.penguins_model,</w:t>
      </w:r>
      <w:r>
        <w:br/>
      </w:r>
      <w:r>
        <w:rPr>
          <w:rStyle w:val="NormalTok"/>
        </w:rPr>
        <w:t xml:space="preserve">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`bigquery</w:t>
      </w:r>
      <w:r>
        <w:rPr>
          <w:rStyle w:val="OperatorTok"/>
        </w:rPr>
        <w:t xml:space="preserve">-</w:t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-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.ml_datasets.penguins`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body_mass_g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));</w:t>
      </w:r>
    </w:p>
    <w:p>
      <w:pPr>
        <w:pStyle w:val="FirstParagraph"/>
      </w:pPr>
      <w:r>
        <w:t xml:space="preserve">Try it yourself: the table is a few hundred rows and the queries scan kilobytes, so this sits comfortably inside the free tier — paste all three into your own project and run them. One gotcha: the public datasets live in the US multi-region location, so the dataset holding your model must be location-compatible (a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 </w:t>
      </w:r>
      <w:r>
        <w:t xml:space="preserve">dataset created with console defaults in the lab is fine).</w:t>
      </w:r>
    </w:p>
    <w:bookmarkEnd w:id="9"/>
    <w:bookmarkStart w:id="10" w:name="the-honest-framing-for-your-project"/>
    <w:p>
      <w:pPr>
        <w:pStyle w:val="Heading2"/>
      </w:pPr>
      <w:r>
        <w:t xml:space="preserve">The honest framing for your project</w:t>
      </w:r>
    </w:p>
    <w:p>
      <w:pPr>
        <w:pStyle w:val="FirstParagraph"/>
      </w:pPr>
      <w:r>
        <w:t xml:space="preserve">Nothing in your migration points at ML — and these notes are not a quiet suggestion that it should. Your priority is the warehouse: kill the extracts, land Bronze/Silver/Gold, feed Power BI. That is the next two quarters. What the demo buys you is a door you now know exists: the day someone asks "can we predict case volumes, backlog, demand?", the answer is "the data is already here, and so is the tool."</w:t>
      </w:r>
      <w:r>
        <w:t xml:space="preserve"> </w:t>
      </w:r>
      <w:r>
        <w:rPr>
          <w:rStyle w:val="VerbatimChar"/>
        </w:rPr>
        <w:t xml:space="preserve">model_type</w:t>
      </w:r>
      <w:r>
        <w:t xml:space="preserve"> </w:t>
      </w:r>
      <w:r>
        <w:t xml:space="preserve">has dozens of options — boosted trees, time-series ARIMA, DNNs — and the syntax keeps this exact shape. Revisit when a real use case appears; the Data Warehousing course goes deeper.</w:t>
      </w:r>
    </w:p>
    <w:bookmarkEnd w:id="10"/>
    <w:bookmarkStart w:id="11" w:name="key-takeaways"/>
    <w:p>
      <w:pPr>
        <w:pStyle w:val="Heading2"/>
      </w:pPr>
      <w:r>
        <w:t xml:space="preserve">Key takeaways</w:t>
      </w:r>
    </w:p>
    <w:p>
      <w:pPr>
        <w:pStyle w:val="Compact"/>
        <w:numPr>
          <w:ilvl w:val="0"/>
          <w:numId w:val="1001"/>
        </w:numPr>
      </w:pPr>
      <w:r>
        <w:t xml:space="preserve">BigQuery ML trains and serves models with SQL, inside BigQuery. If you can write a SELECT, you can train a model.</w:t>
      </w:r>
    </w:p>
    <w:p>
      <w:pPr>
        <w:pStyle w:val="Compact"/>
        <w:numPr>
          <w:ilvl w:val="0"/>
          <w:numId w:val="1001"/>
        </w:numPr>
      </w:pPr>
      <w:r>
        <w:t xml:space="preserve">A model is a first-class object in a dataset — it sits next to tables in the Explorer pane and gets IAM like any other resource.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CREATE MODEL</w:t>
      </w:r>
      <w:r>
        <w:t xml:space="preserve"> </w:t>
      </w:r>
      <w:r>
        <w:t xml:space="preserve">trains,</w:t>
      </w:r>
      <w:r>
        <w:t xml:space="preserve"> </w:t>
      </w:r>
      <w:r>
        <w:rPr>
          <w:rStyle w:val="VerbatimChar"/>
        </w:rPr>
        <w:t xml:space="preserve">ML.EVALUATE</w:t>
      </w:r>
      <w:r>
        <w:t xml:space="preserve"> </w:t>
      </w:r>
      <w:r>
        <w:t xml:space="preserve">measures error,</w:t>
      </w:r>
      <w:r>
        <w:t xml:space="preserve"> </w:t>
      </w:r>
      <w:r>
        <w:rPr>
          <w:rStyle w:val="VerbatimChar"/>
        </w:rPr>
        <w:t xml:space="preserve">ML.PREDICT</w:t>
      </w:r>
      <w:r>
        <w:t xml:space="preserve"> </w:t>
      </w:r>
      <w:r>
        <w:t xml:space="preserve">scores rows — three statements, and the data never leaves the warehouse.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ML.EVALUATE</w:t>
      </w:r>
      <w:r>
        <w:t xml:space="preserve"> </w:t>
      </w:r>
      <w:r>
        <w:t xml:space="preserve">is the same discipline as your Dataform assertions: assertions check data,</w:t>
      </w:r>
      <w:r>
        <w:t xml:space="preserve"> </w:t>
      </w:r>
      <w:r>
        <w:rPr>
          <w:rStyle w:val="VerbatimChar"/>
        </w:rPr>
        <w:t xml:space="preserve">ML.EVALUATE</w:t>
      </w:r>
      <w:r>
        <w:t xml:space="preserve"> </w:t>
      </w:r>
      <w:r>
        <w:t xml:space="preserve">checks predictions.</w:t>
      </w:r>
    </w:p>
    <w:p>
      <w:pPr>
        <w:pStyle w:val="Compact"/>
        <w:numPr>
          <w:ilvl w:val="0"/>
          <w:numId w:val="1001"/>
        </w:numPr>
      </w:pPr>
      <w:r>
        <w:t xml:space="preserve">Notice what did not happen in the demo: no extract job, no staging server, no ODBC export. The training data never moved — the whole two days in miniature.</w:t>
      </w:r>
    </w:p>
    <w:p>
      <w:pPr>
        <w:pStyle w:val="Compact"/>
        <w:numPr>
          <w:ilvl w:val="0"/>
          <w:numId w:val="1001"/>
        </w:numPr>
      </w:pPr>
      <w:r>
        <w:t xml:space="preserve">When a data-science team shows up, your Gold marts are already their training data.</w:t>
      </w:r>
    </w:p>
    <w:p>
      <w:pPr>
        <w:pStyle w:val="Compact"/>
        <w:numPr>
          <w:ilvl w:val="0"/>
          <w:numId w:val="1001"/>
        </w:numPr>
      </w:pPr>
      <w:r>
        <w:t xml:space="preserve">ML is a possible future for DOM DoIT, not a priority. Know the door exists; keep building the warehouse.</w:t>
      </w:r>
    </w:p>
    <w:bookmarkEnd w:id="11"/>
    <w:bookmarkStart w:id="12" w:name="Xf4b51e8971b201df06b5433cc752a02215f946a"/>
    <w:p>
      <w:pPr>
        <w:pStyle w:val="Heading2"/>
      </w:pPr>
      <w:r>
        <w:t xml:space="preserve">Your SQL Server world → GCP world (this block)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Your SQL Server world</w:t>
            </w:r>
          </w:p>
        </w:tc>
        <w:tc>
          <w:tcPr/>
          <w:p>
            <w:pPr>
              <w:pStyle w:val="Compact"/>
            </w:pPr>
            <w:r>
              <w:t xml:space="preserve">GCP world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to CSV, then R/Python on someone's desktop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 MODEL</w:t>
            </w:r>
            <w:r>
              <w:t xml:space="preserve"> </w:t>
            </w:r>
            <w:r>
              <w:t xml:space="preserve">in SQL, where the data lives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Server Machine Learning Services (R/Python inside the database)</w:t>
            </w:r>
          </w:p>
        </w:tc>
        <w:tc>
          <w:tcPr/>
          <w:p>
            <w:pPr>
              <w:pStyle w:val="Compact"/>
            </w:pPr>
            <w:r>
              <w:t xml:space="preserve">BigQuery ML — same idea, pure SQL, no server to manage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model file on a share</w:t>
            </w:r>
          </w:p>
        </w:tc>
        <w:tc>
          <w:tcPr/>
          <w:p>
            <w:pPr>
              <w:pStyle w:val="Compact"/>
            </w:pPr>
            <w:r>
              <w:t xml:space="preserve">A model object in your dataset (IAM, Information Schema)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scoring stored procedure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ML.PREDICT()</w:t>
            </w:r>
            <w:r>
              <w:t xml:space="preserve"> </w:t>
            </w:r>
            <w:r>
              <w:t xml:space="preserve">in a query — schedulable like any 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model validation 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ML.EVALUATE()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Reports pointed at the reporting copy</w:t>
            </w:r>
          </w:p>
        </w:tc>
        <w:tc>
          <w:tcPr/>
          <w:p>
            <w:pPr>
              <w:pStyle w:val="Compact"/>
            </w:pPr>
            <w:r>
              <w:t xml:space="preserve">The same Power BI reports pointed at Gold marts — see the connector guide below</w:t>
            </w:r>
          </w:p>
        </w:tc>
      </w:tr>
    </w:tbl>
    <w:bookmarkEnd w:id="12"/>
    <w:bookmarkStart w:id="15" w:name="dig-deeper"/>
    <w:p>
      <w:pPr>
        <w:pStyle w:val="Heading2"/>
      </w:pPr>
      <w:r>
        <w:t xml:space="preserve">Dig deeper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Introduction to BigQuery ML</w:t>
        </w:r>
      </w:hyperlink>
      <w:r>
        <w:t xml:space="preserve"> </w:t>
      </w:r>
      <w:r>
        <w:t xml:space="preserve">— supported model types, syntax, and pricing.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Power BI ↔ BigQuery connector guide</w:t>
        </w:r>
      </w:hyperlink>
      <w:r>
        <w:t xml:space="preserve"> </w:t>
      </w:r>
      <w:r>
        <w:t xml:space="preserve">— the companion how-to for the second half of this block; keep it for when you connect your first Gold mart.</w:t>
      </w:r>
    </w:p>
    <w:p>
      <w:pPr>
        <w:pStyle w:val="FirstParagraph"/>
      </w:pPr>
      <w:r>
        <w:rPr>
          <w:i/>
          <w:iCs/>
        </w:rPr>
        <w:t xml:space="preserve">Part of the Iowa DOM DoIT Data Engineering student pack — 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../00_schedule.md</w:t>
      </w:r>
      <w:r>
        <w:rPr>
          <w:i/>
          <w:iCs/>
        </w:rPr>
        <w:t xml:space="preserve">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../../reference/powerbi-bigquery-connector-guide.pdf" TargetMode="External" /><Relationship Type="http://schemas.openxmlformats.org/officeDocument/2006/relationships/hyperlink" Id="rId13" Target="https://cloud.google.com/bigquery/docs/bqml-intro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../../reference/powerbi-bigquery-connector-guide.pdf" TargetMode="External" /><Relationship Type="http://schemas.openxmlformats.org/officeDocument/2006/relationships/hyperlink" Id="rId13" Target="https://cloud.google.com/bigquery/docs/bqml-intro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2026-10-03T16:14:53Z</dcterms:created>
  <dcterms:modified xsi:type="dcterms:W3CDTF">2026-10-03T16:14:53Z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