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f2eaf06eff02af9253d6a3199b52a56ffa0f65"/>
    <w:p>
      <w:pPr>
        <w:pStyle w:val="Heading1"/>
      </w:pPr>
      <w:r>
        <w:t xml:space="preserve">Course summary — the two days against your migration map</w:t>
      </w:r>
    </w:p>
    <w:p>
      <w:pPr>
        <w:pStyle w:val="FirstParagraph"/>
      </w:pPr>
      <w:r>
        <w:t xml:space="preserve">Student notes for Day 2 (Tue Oct 6), 3:50–4:10 PM CT: the fast retrace of everything you did, mapped onto your own migration, plus where to go next.</w:t>
      </w:r>
    </w:p>
    <w:bookmarkStart w:id="9" w:name="Xa483cafe5358d10e01c8b2986f3d59e849076b0"/>
    <w:p>
      <w:pPr>
        <w:pStyle w:val="Heading2"/>
      </w:pPr>
      <w:r>
        <w:t xml:space="preserve">The two days, retraced against your migration</w:t>
      </w:r>
    </w:p>
    <w:p>
      <w:pPr>
        <w:pStyle w:val="FirstParagraph"/>
      </w:pPr>
      <w:r>
        <w:rPr>
          <w:b/>
          <w:bCs/>
        </w:rPr>
        <w:t xml:space="preserve">Day 1 — landing your data in BigQuery:</w:t>
      </w:r>
    </w:p>
    <w:p>
      <w:pPr>
        <w:pStyle w:val="Compact"/>
        <w:numPr>
          <w:ilvl w:val="0"/>
          <w:numId w:val="1001"/>
        </w:numPr>
      </w:pPr>
      <w:r>
        <w:t xml:space="preserve">The reframe: two days = your migration story —</w:t>
      </w:r>
      <w:r>
        <w:t xml:space="preserve"> </w:t>
      </w:r>
      <w:r>
        <w:rPr>
          <w:b/>
          <w:bCs/>
        </w:rPr>
        <w:t xml:space="preserve">kill the nightly extracts → land in BigQuery → Bronze/Silver/Gold → Dataform → the Power BI you already have.</w:t>
      </w:r>
      <w:r>
        <w:t xml:space="preserve"> </w:t>
      </w:r>
      <w:r>
        <w:t xml:space="preserve">Everything you did hangs on that spine.</w:t>
      </w:r>
    </w:p>
    <w:p>
      <w:pPr>
        <w:pStyle w:val="Compact"/>
        <w:numPr>
          <w:ilvl w:val="0"/>
          <w:numId w:val="1001"/>
        </w:numPr>
      </w:pPr>
      <w:r>
        <w:t xml:space="preserve">GCP orientation: console, projects, IAM, billing. You starred</w:t>
      </w:r>
      <w:r>
        <w:t xml:space="preserve"> </w:t>
      </w:r>
      <w:r>
        <w:rPr>
          <w:rStyle w:val="VerbatimChar"/>
        </w:rPr>
        <w:t xml:space="preserve">bigquery-samples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bigquery-public-data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roi-bq-demos</w:t>
      </w:r>
      <w:r>
        <w:t xml:space="preserve">, and created your own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 — your scratch space for the rest of the course.</w:t>
      </w:r>
    </w:p>
    <w:p>
      <w:pPr>
        <w:pStyle w:val="Compact"/>
        <w:numPr>
          <w:ilvl w:val="0"/>
          <w:numId w:val="1001"/>
        </w:numPr>
      </w:pPr>
      <w:r>
        <w:t xml:space="preserve">The resource hierarchy:</w:t>
      </w:r>
      <w:r>
        <w:t xml:space="preserve"> </w:t>
      </w:r>
      <w:r>
        <w:rPr>
          <w:b/>
          <w:bCs/>
        </w:rPr>
        <w:t xml:space="preserve">project → dataset → table</w:t>
      </w:r>
      <w:r>
        <w:t xml:space="preserve"> </w:t>
      </w:r>
      <w:r>
        <w:t xml:space="preserve">— your instance → database → schema.table mental model, translated.</w:t>
      </w:r>
    </w:p>
    <w:p>
      <w:pPr>
        <w:pStyle w:val="Compact"/>
        <w:numPr>
          <w:ilvl w:val="0"/>
          <w:numId w:val="1001"/>
        </w:numPr>
      </w:pPr>
      <w:r>
        <w:t xml:space="preserve">First lab: you loaded data into BigQuery in minutes. First win in an unfamiliar console.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Datastream = the extract-killer.</w:t>
      </w:r>
      <w:r>
        <w:t xml:space="preserve"> </w:t>
      </w:r>
      <w:r>
        <w:t xml:space="preserve">Log-based CDC: no triggers, no polling, no production load — and SQL Server is a supported source. You changed a row in the source and watched it land in BigQuery over lunch. No nightly job, no extract window.</w:t>
      </w:r>
    </w:p>
    <w:p>
      <w:pPr>
        <w:pStyle w:val="Compact"/>
        <w:numPr>
          <w:ilvl w:val="0"/>
          <w:numId w:val="1001"/>
        </w:numPr>
      </w:pPr>
      <w:r>
        <w:t xml:space="preserve">Loading files three ways — console,</w:t>
      </w:r>
      <w:r>
        <w:t xml:space="preserve"> </w:t>
      </w:r>
      <w:r>
        <w:rPr>
          <w:rStyle w:val="VerbatimChar"/>
        </w:rPr>
        <w:t xml:space="preserve">bq load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 </w:t>
      </w:r>
      <w:r>
        <w:t xml:space="preserve">SQL — from the</w:t>
      </w:r>
      <w:r>
        <w:t xml:space="preserve"> </w:t>
      </w:r>
      <w:r>
        <w:rPr>
          <w:rStyle w:val="VerbatimChar"/>
        </w:rPr>
        <w:t xml:space="preserve">jwd-gcp-demos</w:t>
      </w:r>
      <w:r>
        <w:t xml:space="preserve"> </w:t>
      </w:r>
      <w:r>
        <w:t xml:space="preserve">bucket into your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dataset. The console form and the CLI are two front-ends for the same load job, and batch loads are free.</w:t>
      </w:r>
    </w:p>
    <w:p>
      <w:pPr>
        <w:pStyle w:val="Compact"/>
        <w:numPr>
          <w:ilvl w:val="0"/>
          <w:numId w:val="1001"/>
        </w:numPr>
      </w:pPr>
      <w:r>
        <w:t xml:space="preserve">The autodetect pitfall (DIN §25):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in a numeric column — a loud failure on one file, a silent STRING column on another.</w:t>
      </w:r>
      <w:r>
        <w:t xml:space="preserve"> </w:t>
      </w:r>
      <w:r>
        <w:rPr>
          <w:b/>
          <w:bCs/>
        </w:rPr>
        <w:t xml:space="preserve">Pin schemas, declare null markers, fail loudly.</w:t>
      </w:r>
    </w:p>
    <w:p>
      <w:pPr>
        <w:pStyle w:val="Compact"/>
        <w:numPr>
          <w:ilvl w:val="0"/>
          <w:numId w:val="1001"/>
        </w:numPr>
      </w:pPr>
      <w:r>
        <w:t xml:space="preserve">The CSV-vs-Parquet race (DIN §26): 60M rows — about two minutes vs seconds. Formats decide speed and cost before you write a line of SQL.</w:t>
      </w:r>
    </w:p>
    <w:p>
      <w:pPr>
        <w:pStyle w:val="Compact"/>
        <w:numPr>
          <w:ilvl w:val="0"/>
          <w:numId w:val="1001"/>
        </w:numPr>
      </w:pPr>
      <w:r>
        <w:t xml:space="preserve">ELT: transforms run inside BigQuery, in SQL. Scheduled queries hooked your SQL Agent instincts; BigQuery scripting and stored procedures map to your T-SQL habits.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Dataform = your Silver→Gold tool.</w:t>
      </w:r>
      <w:r>
        <w:t xml:space="preserve"> </w:t>
      </w:r>
      <w:r>
        <w:t xml:space="preserve">SQLX models, assertions, release configs, and git — your existing CI/CD discipline translates directly.</w:t>
      </w:r>
    </w:p>
    <w:p>
      <w:pPr>
        <w:pStyle w:val="Compact"/>
        <w:numPr>
          <w:ilvl w:val="0"/>
          <w:numId w:val="1001"/>
        </w:numPr>
      </w:pPr>
      <w:r>
        <w:t xml:space="preserve">Automation: Cloud Scheduler ≈ SQL Agent jobs; Composer when pipelines get many and interdependent; Dataform release configs chain the transforms. M&amp;O's job shifts from "restart the failed job" to "watch a freshness metric."</w:t>
      </w:r>
    </w:p>
    <w:p>
      <w:pPr>
        <w:pStyle w:val="FirstParagraph"/>
      </w:pPr>
      <w:r>
        <w:rPr>
          <w:b/>
          <w:bCs/>
        </w:rPr>
        <w:t xml:space="preserve">Day 2 — your target operating model:</w:t>
      </w:r>
    </w:p>
    <w:p>
      <w:pPr>
        <w:pStyle w:val="Compact"/>
        <w:numPr>
          <w:ilvl w:val="0"/>
          <w:numId w:val="1002"/>
        </w:numPr>
      </w:pPr>
      <w:r>
        <w:t xml:space="preserve">Lakehouse vocabulary, then Bronze made tangible: GCS + open formats (Parquet, Iceberg), external and BigLake tables — and federated queries, your linked-server/</w:t>
      </w:r>
      <w:r>
        <w:rPr>
          <w:rStyle w:val="VerbatimChar"/>
        </w:rPr>
        <w:t xml:space="preserve">OPENQUERY</w:t>
      </w:r>
      <w:r>
        <w:t xml:space="preserve"> </w:t>
      </w:r>
      <w:r>
        <w:t xml:space="preserve">mental model without moving any data (DIN §30).</w:t>
      </w:r>
    </w:p>
    <w:p>
      <w:pPr>
        <w:pStyle w:val="Compact"/>
        <w:numPr>
          <w:ilvl w:val="0"/>
          <w:numId w:val="1002"/>
        </w:numPr>
      </w:pPr>
      <w:r>
        <w:t xml:space="preserve">Modernizing the warehouse: partitioning and clustering previewed (the Data Warehousing course goes deep), and Iceberg tables for an open Bronze layer.</w:t>
      </w:r>
    </w:p>
    <w:p>
      <w:pPr>
        <w:pStyle w:val="Compact"/>
        <w:numPr>
          <w:ilvl w:val="0"/>
          <w:numId w:val="1002"/>
        </w:numPr>
      </w:pPr>
      <w:r>
        <w:t xml:space="preserve">Governance + the medallion: Google's own Bronze/Silver/Gold zone slides matched your architecture document. Knowledge Catalog, Sensitive Data Protection, and fine-grained security back your single-source-of-truth requirement.</w:t>
      </w:r>
    </w:p>
    <w:p>
      <w:pPr>
        <w:pStyle w:val="Compact"/>
        <w:numPr>
          <w:ilvl w:val="0"/>
          <w:numId w:val="1002"/>
        </w:numPr>
      </w:pPr>
      <w:r>
        <w:t xml:space="preserve">The last mile, closed: BQML showed a door that exists for later; the Google BigQuery connector puts your Gold marts in the Power BI you already have — Import-first, service account in the service. Same authors, same workspaces, same DAX; only the connection string changes. And in the capstone, your group mapped a real job: that page is backlog draft zero.</w:t>
      </w:r>
    </w:p>
    <w:bookmarkEnd w:id="9"/>
    <w:bookmarkStart w:id="11" w:name="X6b08d828dd78bf3dfbb8fe58a13a3b9141f6721"/>
    <w:p>
      <w:pPr>
        <w:pStyle w:val="Heading2"/>
      </w:pPr>
      <w:r>
        <w:t xml:space="preserve">Your SQL Server world → GCP world (the whole course on one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SQL Server world</w:t>
            </w:r>
          </w:p>
        </w:tc>
        <w:tc>
          <w:tcPr/>
          <w:p>
            <w:pPr>
              <w:pStyle w:val="Compact"/>
            </w:pPr>
            <w:r>
              <w:t xml:space="preserve">GCP world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 extract jobs / SSIS sweeps</w:t>
            </w:r>
          </w:p>
        </w:tc>
        <w:tc>
          <w:tcPr/>
          <w:p>
            <w:pPr>
              <w:pStyle w:val="Compact"/>
            </w:pPr>
            <w:r>
              <w:t xml:space="preserve">Datastream (CDC) for databases; Storage Transfer +</w:t>
            </w:r>
            <w:r>
              <w:t xml:space="preserve"> </w:t>
            </w:r>
            <w:r>
              <w:rPr>
                <w:rStyle w:val="VerbatimChar"/>
              </w:rPr>
              <w:t xml:space="preserve">LOAD DATA</w:t>
            </w:r>
            <w:r>
              <w:t xml:space="preserve"> </w:t>
            </w:r>
            <w:r>
              <w:t xml:space="preserve">for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 jobs</w:t>
            </w:r>
          </w:p>
        </w:tc>
        <w:tc>
          <w:tcPr/>
          <w:p>
            <w:pPr>
              <w:pStyle w:val="Compact"/>
            </w:pPr>
            <w:r>
              <w:t xml:space="preserve">Cloud Scheduler, scheduled queries, Dataform release configs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SSIS package transforms</w:t>
            </w:r>
          </w:p>
        </w:tc>
        <w:tc>
          <w:tcPr/>
          <w:p>
            <w:pPr>
              <w:pStyle w:val="Compact"/>
            </w:pPr>
            <w:r>
              <w:t xml:space="preserve">Dataform SQLX models (Silver→Gold), in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T-SQL stored procedures</w:t>
            </w:r>
          </w:p>
        </w:tc>
        <w:tc>
          <w:tcPr/>
          <w:p>
            <w:pPr>
              <w:pStyle w:val="Compact"/>
            </w:pPr>
            <w:r>
              <w:t xml:space="preserve">BigQuery scripting / stored procedures, or Dataform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servers /</w:t>
            </w:r>
            <w:r>
              <w:t xml:space="preserve"> </w:t>
            </w:r>
            <w:r>
              <w:rPr>
                <w:rStyle w:val="VerbatimChar"/>
              </w:rPr>
              <w:t xml:space="preserve">OPENQUERY</w:t>
            </w:r>
          </w:p>
        </w:tc>
        <w:tc>
          <w:tcPr/>
          <w:p>
            <w:pPr>
              <w:pStyle w:val="Compact"/>
            </w:pPr>
            <w:r>
              <w:t xml:space="preserve">Federated queries; external and BigLake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Agent proxy accounts</w:t>
            </w:r>
          </w:p>
        </w:tc>
        <w:tc>
          <w:tcPr/>
          <w:p>
            <w:pPr>
              <w:pStyle w:val="Compact"/>
            </w:pPr>
            <w:r>
              <w:t xml:space="preserve">Service accounts with least-privilege IAM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→ database → schema.table</w:t>
            </w:r>
          </w:p>
        </w:tc>
        <w:tc>
          <w:tcPr/>
          <w:p>
            <w:pPr>
              <w:pStyle w:val="Compact"/>
            </w:pPr>
            <w:r>
              <w:t xml:space="preserve">Project → dataset →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reporting copy your reports read</w:t>
            </w:r>
          </w:p>
        </w:tc>
        <w:tc>
          <w:tcPr/>
          <w:p>
            <w:pPr>
              <w:pStyle w:val="Compact"/>
            </w:pPr>
            <w:r>
              <w:t xml:space="preserve">Gold marts in BigQuery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BI's SQL Server connection</w:t>
            </w:r>
          </w:p>
        </w:tc>
        <w:tc>
          <w:tcPr/>
          <w:p>
            <w:pPr>
              <w:pStyle w:val="Compact"/>
            </w:pPr>
            <w:r>
              <w:t xml:space="preserve">The Google BigQuery connector —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the last-mile guide</w:t>
              </w:r>
            </w:hyperlink>
          </w:p>
        </w:tc>
      </w:tr>
    </w:tbl>
    <w:bookmarkEnd w:id="11"/>
    <w:bookmarkStart w:id="18" w:name="where-to-go-next"/>
    <w:p>
      <w:pPr>
        <w:pStyle w:val="Heading2"/>
      </w:pPr>
      <w:r>
        <w:t xml:space="preserve">Where to go next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Warehousing with BigQuery (3 days, being scheduled).</w:t>
      </w:r>
      <w:r>
        <w:t xml:space="preserve"> </w:t>
      </w:r>
      <w:r>
        <w:t xml:space="preserve">Goes deep on everything Day 2 previewed: partitioning and clustering, query optimization and cost control, Iceberg, and governance. That is the training behind this one — ask your coordinator about dates.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Optional homework: the serverless Spark lab</w:t>
      </w:r>
      <w:r>
        <w:t xml:space="preserve"> </w:t>
      </w:r>
      <w:r>
        <w:t xml:space="preserve">from Day 1's ETL module, still waiting in your Skills classroom (</w:t>
      </w:r>
      <w:hyperlink r:id="rId12">
        <w:r>
          <w:rPr>
            <w:rStyle w:val="Hyperlink"/>
          </w:rPr>
          <w:t xml:space="preserve">https://www.skills.google/ilt/classrooms/37990</w:t>
        </w:r>
      </w:hyperlink>
      <w:r>
        <w:t xml:space="preserve">). Worth an hour if you want to see the "when SQL isn't enough" escape hatch for yourself.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 practicing — it costs nothing to stay sharp:</w:t>
      </w:r>
    </w:p>
    <w:p>
      <w:pPr>
        <w:pStyle w:val="Compact"/>
        <w:numPr>
          <w:ilvl w:val="1"/>
          <w:numId w:val="1004"/>
        </w:numPr>
      </w:pPr>
      <w:r>
        <w:t xml:space="preserve">BigQuery's free tier gives every billing account 1 TiB of queries and 10 GiB of storage per month, and batch loads are always free — see</w:t>
      </w:r>
      <w:r>
        <w:t xml:space="preserve"> </w:t>
      </w:r>
      <w:hyperlink r:id="rId13">
        <w:r>
          <w:rPr>
            <w:rStyle w:val="Hyperlink"/>
          </w:rPr>
          <w:t xml:space="preserve">BigQuery pricing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bigquery-public-data</w:t>
      </w:r>
      <w:r>
        <w:t xml:space="preserve"> </w:t>
      </w:r>
      <w:r>
        <w:t xml:space="preserve">project you starred on Day 1 is hundreds of real datasets you pay nothing to store — you only pay for queries, inside the free tier above. Details:</w:t>
      </w:r>
      <w:r>
        <w:t xml:space="preserve"> </w:t>
      </w:r>
      <w:hyperlink r:id="rId14">
        <w:r>
          <w:rPr>
            <w:rStyle w:val="Hyperlink"/>
          </w:rPr>
          <w:t xml:space="preserve">BigQuery public datasets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Do-It-Now (DIN) activities page</w:t>
        </w:r>
      </w:hyperlink>
      <w:r>
        <w:t xml:space="preserve"> </w:t>
      </w:r>
      <w:r>
        <w:t xml:space="preserve">has everything you did in class — §3 (console orientation), §24–§27 (loading, the autodetect pitfall, the format race,</w:t>
      </w:r>
      <w:r>
        <w:t xml:space="preserve"> </w:t>
      </w:r>
      <w:r>
        <w:rPr>
          <w:rStyle w:val="VerbatimChar"/>
        </w:rPr>
        <w:t xml:space="preserve">LOAD DATA</w:t>
      </w:r>
      <w:r>
        <w:t xml:space="preserve">), §29 (derived tables), §30 (external tables) — plus many more you haven't touched (time travel, caching, clustering, execution details). Each activity is self-contained and labeled by cost.</w:t>
      </w:r>
    </w:p>
    <w:p>
      <w:pPr>
        <w:pStyle w:val="Compact"/>
        <w:numPr>
          <w:ilvl w:val="1"/>
          <w:numId w:val="1004"/>
        </w:numPr>
      </w:pPr>
      <w:r>
        <w:t xml:space="preserve">The Dataform demo repository from class —</w:t>
      </w:r>
      <w:r>
        <w:t xml:space="preserve"> </w:t>
      </w:r>
      <w:hyperlink r:id="rId16">
        <w:r>
          <w:rPr>
            <w:rStyle w:val="Hyperlink"/>
          </w:rPr>
          <w:t xml:space="preserve">https://github.com/jwdavis/dataform-demo</w:t>
        </w:r>
      </w:hyperlink>
      <w:r>
        <w:t xml:space="preserve"> </w:t>
      </w:r>
      <w:r>
        <w:t xml:space="preserve">— is public; clone it and rebuild the staging → mart workflow in a scratch project.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Your capstone map.</w:t>
      </w:r>
      <w:r>
        <w:t xml:space="preserve"> </w:t>
      </w:r>
      <w:r>
        <w:t xml:space="preserve">Photograph it if you haven't. It's backlog draft zero for the migration project — see the</w:t>
      </w:r>
      <w:r>
        <w:t xml:space="preserve"> </w:t>
      </w:r>
      <w:hyperlink r:id="rId17">
        <w:r>
          <w:rPr>
            <w:rStyle w:val="Hyperlink"/>
          </w:rPr>
          <w:t xml:space="preserve">capstone worksheet</w:t>
        </w:r>
      </w:hyperlink>
      <w:r>
        <w:t xml:space="preserve">.</w: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reference/powerbi-bigquery-connector-guide.pdf" TargetMode="External" /><Relationship Type="http://schemas.openxmlformats.org/officeDocument/2006/relationships/hyperlink" Id="rId17" Target="../11_capstone-workshop/worksheet.pdf" TargetMode="External" /><Relationship Type="http://schemas.openxmlformats.org/officeDocument/2006/relationships/hyperlink" Id="rId13" Target="https://cloud.google.com/bigquery/pricing" TargetMode="External" /><Relationship Type="http://schemas.openxmlformats.org/officeDocument/2006/relationships/hyperlink" Id="rId14" Target="https://cloud.google.com/bigquery/public-data" TargetMode="External" /><Relationship Type="http://schemas.openxmlformats.org/officeDocument/2006/relationships/hyperlink" Id="rId16" Target="https://github.com/jwdavis/dataform-demo" TargetMode="External" /><Relationship Type="http://schemas.openxmlformats.org/officeDocument/2006/relationships/hyperlink" Id="rId15" Target="https://roitraining.github.io/gcp-demos/bigquery.html" TargetMode="External" /><Relationship Type="http://schemas.openxmlformats.org/officeDocument/2006/relationships/hyperlink" Id="rId12" Target="https://www.skills.google/ilt/classrooms/379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reference/powerbi-bigquery-connector-guide.pdf" TargetMode="External" /><Relationship Type="http://schemas.openxmlformats.org/officeDocument/2006/relationships/hyperlink" Id="rId17" Target="../11_capstone-workshop/worksheet.pdf" TargetMode="External" /><Relationship Type="http://schemas.openxmlformats.org/officeDocument/2006/relationships/hyperlink" Id="rId13" Target="https://cloud.google.com/bigquery/pricing" TargetMode="External" /><Relationship Type="http://schemas.openxmlformats.org/officeDocument/2006/relationships/hyperlink" Id="rId14" Target="https://cloud.google.com/bigquery/public-data" TargetMode="External" /><Relationship Type="http://schemas.openxmlformats.org/officeDocument/2006/relationships/hyperlink" Id="rId16" Target="https://github.com/jwdavis/dataform-demo" TargetMode="External" /><Relationship Type="http://schemas.openxmlformats.org/officeDocument/2006/relationships/hyperlink" Id="rId15" Target="https://roitraining.github.io/gcp-demos/bigquery.html" TargetMode="External" /><Relationship Type="http://schemas.openxmlformats.org/officeDocument/2006/relationships/hyperlink" Id="rId12" Target="https://www.skills.google/ilt/classrooms/379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