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c8b1ca506eab0de00e13d796d7630ae37c8a618"/>
    <w:p>
      <w:pPr>
        <w:pStyle w:val="Heading1"/>
      </w:pPr>
      <w:r>
        <w:t xml:space="preserve">GCP for SQL Server Professionals — the Mapping Card</w:t>
      </w:r>
    </w:p>
    <w:p>
      <w:pPr>
        <w:pStyle w:val="FirstParagraph"/>
      </w:pPr>
      <w:r>
        <w:t xml:space="preserve">The big mental-model card: your SQL Server world on the left, the GCP equivalent on the right. Read it once before Day 1, keep it open during labs, and let the right-hand column become reflexive by Tuesday afternoon.</w:t>
      </w:r>
    </w:p>
    <w:p>
      <w:pPr>
        <w:pStyle w:val="BodyText"/>
      </w:pPr>
      <w:r>
        <w:t xml:space="preserve">One caution before the table: these are</w:t>
      </w:r>
      <w:r>
        <w:t xml:space="preserve"> </w:t>
      </w:r>
      <w:r>
        <w:rPr>
          <w:i/>
          <w:iCs/>
        </w:rPr>
        <w:t xml:space="preserve">mappings</w:t>
      </w:r>
      <w:r>
        <w:t xml:space="preserve">, not identities. A GCP project behaves like an instance in the ways that matter to you (boundary of access and billing) and differently in ways that don't (nobody patches it). Where the difference bites, the notes column says so.</w:t>
      </w:r>
    </w:p>
    <w:bookmarkStart w:id="9" w:name="compute--structure"/>
    <w:p>
      <w:pPr>
        <w:pStyle w:val="Heading2"/>
      </w:pPr>
      <w:r>
        <w:t xml:space="preserve">Compute &amp; structure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Your SQL Server world</w:t>
            </w:r>
          </w:p>
        </w:tc>
        <w:tc>
          <w:tcPr/>
          <w:p>
            <w:pPr>
              <w:pStyle w:val="Compact"/>
            </w:pPr>
            <w:r>
              <w:t xml:space="preserve">GCP world</w:t>
            </w:r>
          </w:p>
        </w:tc>
        <w:tc>
          <w:tcPr/>
          <w:p>
            <w:pPr>
              <w:pStyle w:val="Compact"/>
            </w:pPr>
            <w:r>
              <w:t xml:space="preserve">Notes</w:t>
            </w:r>
          </w:p>
        </w:tc>
      </w:tr>
      <w:tr>
        <w:tc>
          <w:tcPr/>
          <w:p>
            <w:pPr>
              <w:pStyle w:val="Compact"/>
            </w:pPr>
            <w:r>
              <w:t xml:space="preserve">SQL Server instance</w:t>
            </w:r>
          </w:p>
        </w:tc>
        <w:tc>
          <w:tcPr/>
          <w:p>
            <w:pPr>
              <w:pStyle w:val="Compact"/>
            </w:pPr>
            <w:r>
              <w:rPr>
                <w:b/>
                <w:bCs/>
              </w:rPr>
              <w:t xml:space="preserve">GCP project</w:t>
            </w:r>
          </w:p>
        </w:tc>
        <w:tc>
          <w:tcPr/>
          <w:p>
            <w:pPr>
              <w:pStyle w:val="Compact"/>
            </w:pPr>
            <w:r>
              <w:t xml:space="preserve">The top-level container: resources, permissions, and billing live at the project boundary. Nothing to install, patch, or fail over.</w:t>
            </w:r>
          </w:p>
        </w:tc>
      </w:tr>
      <w:tr>
        <w:tc>
          <w:tcPr/>
          <w:p>
            <w:pPr>
              <w:pStyle w:val="Compact"/>
            </w:pPr>
            <w:r>
              <w:t xml:space="preserve">Database</w:t>
            </w:r>
          </w:p>
        </w:tc>
        <w:tc>
          <w:tcPr/>
          <w:p>
            <w:pPr>
              <w:pStyle w:val="Compact"/>
            </w:pPr>
            <w:r>
              <w:rPr>
                <w:b/>
                <w:bCs/>
              </w:rPr>
              <w:t xml:space="preserve">BigQuery dataset</w:t>
            </w:r>
          </w:p>
        </w:tc>
        <w:tc>
          <w:tcPr/>
          <w:p>
            <w:pPr>
              <w:pStyle w:val="Compact"/>
            </w:pPr>
            <w:r>
              <w:t xml:space="preserve">Container for tables and views. You choose its</w:t>
            </w:r>
            <w:r>
              <w:t xml:space="preserve"> </w:t>
            </w:r>
            <w:r>
              <w:rPr>
                <w:b/>
                <w:bCs/>
              </w:rPr>
              <w:t xml:space="preserve">location</w:t>
            </w:r>
            <w:r>
              <w:t xml:space="preserve"> </w:t>
            </w:r>
            <w:r>
              <w:t xml:space="preserve">(region/multi-region) at creation and can't change it later — decide where your warehouse lives once, deliberately.</w:t>
            </w:r>
          </w:p>
        </w:tc>
      </w:tr>
      <w:tr>
        <w:tc>
          <w:tcPr/>
          <w:p>
            <w:pPr>
              <w:pStyle w:val="Compact"/>
            </w:pPr>
            <w:r>
              <w:rPr>
                <w:rStyle w:val="VerbatimChar"/>
              </w:rPr>
              <w:t xml:space="preserve">schema.table</w:t>
            </w:r>
          </w:p>
        </w:tc>
        <w:tc>
          <w:tcPr/>
          <w:p>
            <w:pPr>
              <w:pStyle w:val="Compact"/>
            </w:pPr>
            <w:r>
              <w:rPr>
                <w:rStyle w:val="VerbatimChar"/>
                <w:b/>
                <w:bCs/>
              </w:rPr>
              <w:t xml:space="preserve">dataset.table</w:t>
            </w:r>
          </w:p>
        </w:tc>
        <w:tc>
          <w:tcPr/>
          <w:p>
            <w:pPr>
              <w:pStyle w:val="Compact"/>
            </w:pPr>
            <w:r>
              <w:t xml:space="preserve">BigQuery has no schema layer. The fully qualified name is</w:t>
            </w:r>
            <w:r>
              <w:t xml:space="preserve"> </w:t>
            </w:r>
            <w:r>
              <w:rPr>
                <w:rStyle w:val="VerbatimChar"/>
              </w:rPr>
              <w:t xml:space="preserve">`project.dataset.table`</w:t>
            </w:r>
            <w:r>
              <w:t xml:space="preserve"> </w:t>
            </w:r>
            <w:r>
              <w:t xml:space="preserve">— three parts, backticks.</w:t>
            </w:r>
          </w:p>
        </w:tc>
      </w:tr>
      <w:tr>
        <w:tc>
          <w:tcPr/>
          <w:p>
            <w:pPr>
              <w:pStyle w:val="Compact"/>
            </w:pPr>
            <w:r>
              <w:t xml:space="preserve">Sizing the instance (cores, RAM)</w:t>
            </w:r>
          </w:p>
        </w:tc>
        <w:tc>
          <w:tcPr/>
          <w:p>
            <w:pPr>
              <w:pStyle w:val="Compact"/>
            </w:pPr>
            <w:r>
              <w:rPr>
                <w:b/>
                <w:bCs/>
              </w:rPr>
              <w:t xml:space="preserve">Nothing to size</w:t>
            </w:r>
          </w:p>
        </w:tc>
        <w:tc>
          <w:tcPr/>
          <w:p>
            <w:pPr>
              <w:pStyle w:val="Compact"/>
            </w:pPr>
            <w:r>
              <w:t xml:space="preserve">BigQuery is serverless: compute is automatic per query. Capacity planning only re-enters if you later choose flat-rate</w:t>
            </w:r>
            <w:r>
              <w:t xml:space="preserve"> </w:t>
            </w:r>
            <w:r>
              <w:rPr>
                <w:b/>
                <w:bCs/>
              </w:rPr>
              <w:t xml:space="preserve">slots</w:t>
            </w:r>
            <w:r>
              <w:t xml:space="preserve"> </w:t>
            </w:r>
            <w:r>
              <w:t xml:space="preserve">instead of on-demand pricing.</w:t>
            </w:r>
          </w:p>
        </w:tc>
      </w:tr>
    </w:tbl>
    <w:bookmarkEnd w:id="9"/>
    <w:bookmarkStart w:id="10" w:name="storage"/>
    <w:p>
      <w:pPr>
        <w:pStyle w:val="Heading2"/>
      </w:pPr>
      <w:r>
        <w:t xml:space="preserve">Storage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Your SQL Server world</w:t>
            </w:r>
          </w:p>
        </w:tc>
        <w:tc>
          <w:tcPr/>
          <w:p>
            <w:pPr>
              <w:pStyle w:val="Compact"/>
            </w:pPr>
            <w:r>
              <w:t xml:space="preserve">GCP world</w:t>
            </w:r>
          </w:p>
        </w:tc>
        <w:tc>
          <w:tcPr/>
          <w:p>
            <w:pPr>
              <w:pStyle w:val="Compact"/>
            </w:pPr>
            <w:r>
              <w:t xml:space="preserve">Notes</w:t>
            </w:r>
          </w:p>
        </w:tc>
      </w:tr>
      <w:tr>
        <w:tc>
          <w:tcPr/>
          <w:p>
            <w:pPr>
              <w:pStyle w:val="Compact"/>
            </w:pPr>
            <w:r>
              <w:t xml:space="preserve">MDF/NDF data files</w:t>
            </w:r>
          </w:p>
        </w:tc>
        <w:tc>
          <w:tcPr/>
          <w:p>
            <w:pPr>
              <w:pStyle w:val="Compact"/>
            </w:pPr>
            <w:r>
              <w:rPr>
                <w:b/>
                <w:bCs/>
              </w:rPr>
              <w:t xml:space="preserve">BigQuery managed storage</w:t>
            </w:r>
          </w:p>
        </w:tc>
        <w:tc>
          <w:tcPr/>
          <w:p>
            <w:pPr>
              <w:pStyle w:val="Compact"/>
            </w:pPr>
            <w:r>
              <w:t xml:space="preserve">You never see, place, or manage storage files — you create tables, storage follows.</w:t>
            </w:r>
          </w:p>
        </w:tc>
      </w:tr>
      <w:tr>
        <w:tc>
          <w:tcPr/>
          <w:p>
            <w:pPr>
              <w:pStyle w:val="Compact"/>
            </w:pPr>
            <w:r>
              <w:t xml:space="preserve">File shares / SFTP drops</w:t>
            </w:r>
          </w:p>
        </w:tc>
        <w:tc>
          <w:tcPr/>
          <w:p>
            <w:pPr>
              <w:pStyle w:val="Compact"/>
            </w:pPr>
            <w:r>
              <w:rPr>
                <w:b/>
                <w:bCs/>
              </w:rPr>
              <w:t xml:space="preserve">GCS buckets</w:t>
            </w:r>
            <w:r>
              <w:t xml:space="preserve"> </w:t>
            </w:r>
            <w:r>
              <w:t xml:space="preserve">(Cloud Storage)</w:t>
            </w:r>
          </w:p>
        </w:tc>
        <w:tc>
          <w:tcPr/>
          <w:p>
            <w:pPr>
              <w:pStyle w:val="Compact"/>
            </w:pPr>
            <w:r>
              <w:t xml:space="preserve">Object storage. "Folders" are naming conventions in object keys, not real directories — but the Hive layout (</w:t>
            </w:r>
            <w:r>
              <w:rPr>
                <w:rStyle w:val="VerbatimChar"/>
              </w:rPr>
              <w:t xml:space="preserve">county=X/period=YYYY-MM/</w:t>
            </w:r>
            <w:r>
              <w:t xml:space="preserve">) buys you real partition pruning.</w:t>
            </w:r>
          </w:p>
        </w:tc>
      </w:tr>
      <w:tr>
        <w:tc>
          <w:tcPr/>
          <w:p>
            <w:pPr>
              <w:pStyle w:val="Compact"/>
            </w:pPr>
            <w:r>
              <w:t xml:space="preserve">Staging share for extracts</w:t>
            </w:r>
          </w:p>
        </w:tc>
        <w:tc>
          <w:tcPr/>
          <w:p>
            <w:pPr>
              <w:pStyle w:val="Compact"/>
            </w:pPr>
            <w:r>
              <w:rPr>
                <w:b/>
                <w:bCs/>
              </w:rPr>
              <w:t xml:space="preserve">A GCS bucket (your Bronze layer)</w:t>
            </w:r>
          </w:p>
        </w:tc>
        <w:tc>
          <w:tcPr/>
          <w:p>
            <w:pPr>
              <w:pStyle w:val="Compact"/>
            </w:pPr>
            <w:r>
              <w:t xml:space="preserve">Files land once, stay immutable, and are queryable in place via external/BigLake/Iceberg tables. No staging-server disk to babysit.</w:t>
            </w:r>
          </w:p>
        </w:tc>
      </w:tr>
      <w:tr>
        <w:tc>
          <w:tcPr/>
          <w:p>
            <w:pPr>
              <w:pStyle w:val="Compact"/>
            </w:pPr>
            <w:r>
              <w:t xml:space="preserve">Backup &amp; restore</w:t>
            </w:r>
          </w:p>
        </w:tc>
        <w:tc>
          <w:tcPr/>
          <w:p>
            <w:pPr>
              <w:pStyle w:val="Compact"/>
            </w:pPr>
            <w:r>
              <w:rPr>
                <w:b/>
                <w:bCs/>
              </w:rPr>
              <w:t xml:space="preserve">Time travel + table snapshots</w:t>
            </w:r>
          </w:p>
        </w:tc>
        <w:tc>
          <w:tcPr/>
          <w:p>
            <w:pPr>
              <w:pStyle w:val="Compact"/>
            </w:pPr>
            <w:r>
              <w:t xml:space="preserve">Query any table as it was up to 7 days ago (default window); snapshots for longer. GCS versioning covers the bucket side.</w:t>
            </w:r>
          </w:p>
        </w:tc>
      </w:tr>
    </w:tbl>
    <w:bookmarkEnd w:id="10"/>
    <w:bookmarkStart w:id="11" w:name="security"/>
    <w:p>
      <w:pPr>
        <w:pStyle w:val="Heading2"/>
      </w:pPr>
      <w:r>
        <w:t xml:space="preserve">Security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Your SQL Server world</w:t>
            </w:r>
          </w:p>
        </w:tc>
        <w:tc>
          <w:tcPr/>
          <w:p>
            <w:pPr>
              <w:pStyle w:val="Compact"/>
            </w:pPr>
            <w:r>
              <w:t xml:space="preserve">GCP world</w:t>
            </w:r>
          </w:p>
        </w:tc>
        <w:tc>
          <w:tcPr/>
          <w:p>
            <w:pPr>
              <w:pStyle w:val="Compact"/>
            </w:pPr>
            <w:r>
              <w:t xml:space="preserve">Notes</w:t>
            </w:r>
          </w:p>
        </w:tc>
      </w:tr>
      <w:tr>
        <w:tc>
          <w:tcPr/>
          <w:p>
            <w:pPr>
              <w:pStyle w:val="Compact"/>
            </w:pPr>
            <w:r>
              <w:t xml:space="preserve">Logins &amp; users</w:t>
            </w:r>
          </w:p>
        </w:tc>
        <w:tc>
          <w:tcPr/>
          <w:p>
            <w:pPr>
              <w:pStyle w:val="Compact"/>
            </w:pPr>
            <w:r>
              <w:rPr>
                <w:b/>
                <w:bCs/>
              </w:rPr>
              <w:t xml:space="preserve">Google identities + IAM</w:t>
            </w:r>
          </w:p>
        </w:tc>
        <w:tc>
          <w:tcPr/>
          <w:p>
            <w:pPr>
              <w:pStyle w:val="Compact"/>
            </w:pPr>
            <w:r>
              <w:t xml:space="preserve">Access is granted to people, groups, or service accounts — on projects, datasets, or individual tables.</w:t>
            </w:r>
          </w:p>
        </w:tc>
      </w:tr>
      <w:tr>
        <w:tc>
          <w:tcPr/>
          <w:p>
            <w:pPr>
              <w:pStyle w:val="Compact"/>
            </w:pPr>
            <w:r>
              <w:t xml:space="preserve">SQL Agent proxies / job accounts</w:t>
            </w:r>
          </w:p>
        </w:tc>
        <w:tc>
          <w:tcPr/>
          <w:p>
            <w:pPr>
              <w:pStyle w:val="Compact"/>
            </w:pPr>
            <w:r>
              <w:rPr>
                <w:b/>
                <w:bCs/>
              </w:rPr>
              <w:t xml:space="preserve">Service accounts</w:t>
            </w:r>
          </w:p>
        </w:tc>
        <w:tc>
          <w:tcPr/>
          <w:p>
            <w:pPr>
              <w:pStyle w:val="Compact"/>
            </w:pPr>
            <w:r>
              <w:t xml:space="preserve">Non-human identities for pipelines. The least-privilege discipline you already apply transfers one-for-one: a refresh identity that may only read the Gold dataset and run queries.</w:t>
            </w:r>
          </w:p>
        </w:tc>
      </w:tr>
      <w:tr>
        <w:tc>
          <w:tcPr/>
          <w:p>
            <w:pPr>
              <w:pStyle w:val="Compact"/>
            </w:pPr>
            <w:r>
              <w:rPr>
                <w:rStyle w:val="VerbatimChar"/>
              </w:rPr>
              <w:t xml:space="preserve">db_datareader</w:t>
            </w:r>
            <w:r>
              <w:t xml:space="preserve"> </w:t>
            </w:r>
            <w:r>
              <w:t xml:space="preserve">/</w:t>
            </w:r>
            <w:r>
              <w:t xml:space="preserve"> </w:t>
            </w:r>
            <w:r>
              <w:rPr>
                <w:rStyle w:val="VerbatimChar"/>
              </w:rPr>
              <w:t xml:space="preserve">db_datawriter</w:t>
            </w:r>
          </w:p>
        </w:tc>
        <w:tc>
          <w:tcPr/>
          <w:p>
            <w:pPr>
              <w:pStyle w:val="Compact"/>
            </w:pPr>
            <w:r>
              <w:rPr>
                <w:b/>
                <w:bCs/>
              </w:rPr>
              <w:t xml:space="preserve">IAM roles</w:t>
            </w:r>
            <w:r>
              <w:t xml:space="preserve"> </w:t>
            </w:r>
            <w:r>
              <w:t xml:space="preserve">(e.g., BigQuery Data Viewer, Job User)</w:t>
            </w:r>
          </w:p>
        </w:tc>
        <w:tc>
          <w:tcPr/>
          <w:p>
            <w:pPr>
              <w:pStyle w:val="Compact"/>
            </w:pPr>
            <w:r>
              <w:t xml:space="preserve">Roles bundle permissions; scope them as tight as you scope database roles today.</w:t>
            </w:r>
          </w:p>
        </w:tc>
      </w:tr>
      <w:tr>
        <w:tc>
          <w:tcPr/>
          <w:p>
            <w:pPr>
              <w:pStyle w:val="Compact"/>
            </w:pPr>
            <w:r>
              <w:t xml:space="preserve">Row/column-level security, dynamic masking</w:t>
            </w:r>
          </w:p>
        </w:tc>
        <w:tc>
          <w:tcPr/>
          <w:p>
            <w:pPr>
              <w:pStyle w:val="Compact"/>
            </w:pPr>
            <w:r>
              <w:rPr>
                <w:b/>
                <w:bCs/>
              </w:rPr>
              <w:t xml:space="preserve">Row access policies, column-level security, policy tags</w:t>
            </w:r>
          </w:p>
        </w:tc>
        <w:tc>
          <w:tcPr/>
          <w:p>
            <w:pPr>
              <w:pStyle w:val="Compact"/>
            </w:pPr>
            <w:r>
              <w:t xml:space="preserve">Exists in BigQuery — covered in the Day-2 governance block.</w:t>
            </w:r>
          </w:p>
        </w:tc>
      </w:tr>
    </w:tbl>
    <w:bookmarkEnd w:id="11"/>
    <w:bookmarkStart w:id="12" w:name="operations--orchestration"/>
    <w:p>
      <w:pPr>
        <w:pStyle w:val="Heading2"/>
      </w:pPr>
      <w:r>
        <w:t xml:space="preserve">Operations &amp; orchestration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Your SQL Server world</w:t>
            </w:r>
          </w:p>
        </w:tc>
        <w:tc>
          <w:tcPr/>
          <w:p>
            <w:pPr>
              <w:pStyle w:val="Compact"/>
            </w:pPr>
            <w:r>
              <w:t xml:space="preserve">GCP world</w:t>
            </w:r>
          </w:p>
        </w:tc>
        <w:tc>
          <w:tcPr/>
          <w:p>
            <w:pPr>
              <w:pStyle w:val="Compact"/>
            </w:pPr>
            <w:r>
              <w:t xml:space="preserve">Notes</w:t>
            </w:r>
          </w:p>
        </w:tc>
      </w:tr>
      <w:tr>
        <w:tc>
          <w:tcPr/>
          <w:p>
            <w:pPr>
              <w:pStyle w:val="Compact"/>
            </w:pPr>
            <w:r>
              <w:t xml:space="preserve">SSIS packages</w:t>
            </w:r>
          </w:p>
        </w:tc>
        <w:tc>
          <w:tcPr/>
          <w:p>
            <w:pPr>
              <w:pStyle w:val="Compact"/>
            </w:pPr>
            <w:r>
              <w:rPr>
                <w:b/>
                <w:bCs/>
              </w:rPr>
              <w:t xml:space="preserve">Dataform</w:t>
            </w:r>
            <w:r>
              <w:t xml:space="preserve"> </w:t>
            </w:r>
            <w:r>
              <w:t xml:space="preserve">(ELT inside BigQuery) /</w:t>
            </w:r>
            <w:r>
              <w:t xml:space="preserve"> </w:t>
            </w:r>
            <w:r>
              <w:rPr>
                <w:b/>
                <w:bCs/>
              </w:rPr>
              <w:t xml:space="preserve">Dataflow</w:t>
            </w:r>
            <w:r>
              <w:t xml:space="preserve"> </w:t>
            </w:r>
            <w:r>
              <w:t xml:space="preserve">(heavy or streaming transforms)</w:t>
            </w:r>
          </w:p>
        </w:tc>
        <w:tc>
          <w:tcPr/>
          <w:p>
            <w:pPr>
              <w:pStyle w:val="Compact"/>
            </w:pPr>
            <w:r>
              <w:t xml:space="preserve">Most of your transforms become plain SQL in Dataform models. Dataflow is the escape hatch when SQL genuinely isn't enough.</w:t>
            </w:r>
          </w:p>
        </w:tc>
      </w:tr>
      <w:tr>
        <w:tc>
          <w:tcPr/>
          <w:p>
            <w:pPr>
              <w:pStyle w:val="Compact"/>
            </w:pPr>
            <w:r>
              <w:t xml:space="preserve">SQL Server Agent jobs</w:t>
            </w:r>
          </w:p>
        </w:tc>
        <w:tc>
          <w:tcPr/>
          <w:p>
            <w:pPr>
              <w:pStyle w:val="Compact"/>
            </w:pPr>
            <w:r>
              <w:rPr>
                <w:b/>
                <w:bCs/>
              </w:rPr>
              <w:t xml:space="preserve">Cloud Scheduler</w:t>
            </w:r>
            <w:r>
              <w:t xml:space="preserve"> </w:t>
            </w:r>
            <w:r>
              <w:t xml:space="preserve">/</w:t>
            </w:r>
            <w:r>
              <w:t xml:space="preserve"> </w:t>
            </w:r>
            <w:r>
              <w:rPr>
                <w:b/>
                <w:bCs/>
              </w:rPr>
              <w:t xml:space="preserve">scheduled queries</w:t>
            </w:r>
          </w:p>
        </w:tc>
        <w:tc>
          <w:tcPr/>
          <w:p>
            <w:pPr>
              <w:pStyle w:val="Compact"/>
            </w:pPr>
            <w:r>
              <w:t xml:space="preserve">A SQL statement on a schedule — you can build one with a few clicks, and you will on Day 1.</w:t>
            </w:r>
          </w:p>
        </w:tc>
      </w:tr>
      <w:tr>
        <w:tc>
          <w:tcPr/>
          <w:p>
            <w:pPr>
              <w:pStyle w:val="Compact"/>
            </w:pPr>
            <w:r>
              <w:t xml:space="preserve">Linked servers /</w:t>
            </w:r>
            <w:r>
              <w:t xml:space="preserve"> </w:t>
            </w:r>
            <w:r>
              <w:rPr>
                <w:rStyle w:val="VerbatimChar"/>
              </w:rPr>
              <w:t xml:space="preserve">OPENQUERY</w:t>
            </w:r>
          </w:p>
        </w:tc>
        <w:tc>
          <w:tcPr/>
          <w:p>
            <w:pPr>
              <w:pStyle w:val="Compact"/>
            </w:pPr>
            <w:r>
              <w:rPr>
                <w:b/>
                <w:bCs/>
              </w:rPr>
              <w:t xml:space="preserve">Federated queries</w:t>
            </w:r>
            <w:r>
              <w:t xml:space="preserve"> </w:t>
            </w:r>
            <w:r>
              <w:t xml:space="preserve">(connection resource +</w:t>
            </w:r>
            <w:r>
              <w:t xml:space="preserve"> </w:t>
            </w:r>
            <w:r>
              <w:rPr>
                <w:rStyle w:val="VerbatimChar"/>
              </w:rPr>
              <w:t xml:space="preserve">EXTERNAL_QUERY</w:t>
            </w:r>
            <w:r>
              <w:t xml:space="preserve">) /</w:t>
            </w:r>
            <w:r>
              <w:t xml:space="preserve"> </w:t>
            </w:r>
            <w:r>
              <w:rPr>
                <w:b/>
                <w:bCs/>
              </w:rPr>
              <w:t xml:space="preserve">BigLake</w:t>
            </w:r>
            <w:r>
              <w:t xml:space="preserve"> </w:t>
            </w:r>
            <w:r>
              <w:t xml:space="preserve">for files</w:t>
            </w:r>
          </w:p>
        </w:tc>
        <w:tc>
          <w:tcPr/>
          <w:p>
            <w:pPr>
              <w:pStyle w:val="Compact"/>
            </w:pPr>
            <w:r>
              <w:t xml:space="preserve">The connection resource is the linked-server definition;</w:t>
            </w:r>
            <w:r>
              <w:t xml:space="preserve"> </w:t>
            </w:r>
            <w:r>
              <w:rPr>
                <w:rStyle w:val="VerbatimChar"/>
              </w:rPr>
              <w:t xml:space="preserve">EXTERNAL_QUERY</w:t>
            </w:r>
            <w:r>
              <w:t xml:space="preserve"> </w:t>
            </w:r>
            <w:r>
              <w:t xml:space="preserve">is</w:t>
            </w:r>
            <w:r>
              <w:t xml:space="preserve"> </w:t>
            </w:r>
            <w:r>
              <w:rPr>
                <w:rStyle w:val="VerbatimChar"/>
              </w:rPr>
              <w:t xml:space="preserve">OPENQUERY</w:t>
            </w:r>
            <w:r>
              <w:t xml:space="preserve"> </w:t>
            </w:r>
            <w:r>
              <w:t xml:space="preserve">— including the "inner SQL is the remote dialect" trap.</w:t>
            </w:r>
          </w:p>
        </w:tc>
      </w:tr>
      <w:tr>
        <w:tc>
          <w:tcPr/>
          <w:p>
            <w:pPr>
              <w:pStyle w:val="Compact"/>
            </w:pPr>
            <w:r>
              <w:t xml:space="preserve">Replication / log shipping / CDC</w:t>
            </w:r>
          </w:p>
        </w:tc>
        <w:tc>
          <w:tcPr/>
          <w:p>
            <w:pPr>
              <w:pStyle w:val="Compact"/>
            </w:pPr>
            <w:r>
              <w:rPr>
                <w:b/>
                <w:bCs/>
              </w:rPr>
              <w:t xml:space="preserve">Datastream</w:t>
            </w:r>
          </w:p>
        </w:tc>
        <w:tc>
          <w:tcPr/>
          <w:p>
            <w:pPr>
              <w:pStyle w:val="Compact"/>
            </w:pPr>
            <w:r>
              <w:t xml:space="preserve">Log-based CDC from SQL Server (and Oracle/MySQL/PostgreSQL) into BigQuery: backfill plus continuous changes, no triggers, no nightly window.</w:t>
            </w:r>
          </w:p>
        </w:tc>
      </w:tr>
      <w:tr>
        <w:tc>
          <w:tcPr/>
          <w:p>
            <w:pPr>
              <w:pStyle w:val="Compact"/>
            </w:pPr>
            <w:r>
              <w:t xml:space="preserve">Windows Task Scheduler</w:t>
            </w:r>
          </w:p>
        </w:tc>
        <w:tc>
          <w:tcPr/>
          <w:p>
            <w:pPr>
              <w:pStyle w:val="Compact"/>
            </w:pPr>
            <w:r>
              <w:rPr>
                <w:b/>
                <w:bCs/>
              </w:rPr>
              <w:t xml:space="preserve">Cloud Scheduler</w:t>
            </w:r>
          </w:p>
        </w:tc>
        <w:tc>
          <w:tcPr/>
          <w:p>
            <w:pPr>
              <w:pStyle w:val="Compact"/>
            </w:pPr>
            <w:r>
              <w:t xml:space="preserve">Managed cron for anything on a timer.</w:t>
            </w:r>
          </w:p>
        </w:tc>
      </w:tr>
      <w:tr>
        <w:tc>
          <w:tcPr/>
          <w:p>
            <w:pPr>
              <w:pStyle w:val="Compact"/>
            </w:pPr>
            <w:r>
              <w:t xml:space="preserve">SSIS projects in source control</w:t>
            </w:r>
          </w:p>
        </w:tc>
        <w:tc>
          <w:tcPr/>
          <w:p>
            <w:pPr>
              <w:pStyle w:val="Compact"/>
            </w:pPr>
            <w:r>
              <w:rPr>
                <w:b/>
                <w:bCs/>
              </w:rPr>
              <w:t xml:space="preserve">Dataform repositories in git</w:t>
            </w:r>
          </w:p>
        </w:tc>
        <w:tc>
          <w:tcPr/>
          <w:p>
            <w:pPr>
              <w:pStyle w:val="Compact"/>
            </w:pPr>
            <w:r>
              <w:rPr>
                <w:rStyle w:val="VerbatimChar"/>
              </w:rPr>
              <w:t xml:space="preserve">.sqlx</w:t>
            </w:r>
            <w:r>
              <w:t xml:space="preserve"> </w:t>
            </w:r>
            <w:r>
              <w:t xml:space="preserve">files, branches, pull requests, release configurations — the shape of the CI/CD pipelines you already run.</w:t>
            </w:r>
          </w:p>
        </w:tc>
      </w:tr>
      <w:tr>
        <w:tc>
          <w:tcPr/>
          <w:p>
            <w:pPr>
              <w:pStyle w:val="Compact"/>
            </w:pPr>
            <w:r>
              <w:t xml:space="preserve">Agent job history / DMVs</w:t>
            </w:r>
          </w:p>
        </w:tc>
        <w:tc>
          <w:tcPr/>
          <w:p>
            <w:pPr>
              <w:pStyle w:val="Compact"/>
            </w:pPr>
            <w:r>
              <w:rPr>
                <w:b/>
                <w:bCs/>
              </w:rPr>
              <w:t xml:space="preserve">Job history,</w:t>
            </w:r>
            <w:r>
              <w:rPr>
                <w:b/>
                <w:bCs/>
              </w:rPr>
              <w:t xml:space="preserve"> </w:t>
            </w:r>
            <w:r>
              <w:rPr>
                <w:rStyle w:val="VerbatimChar"/>
                <w:b/>
                <w:bCs/>
              </w:rPr>
              <w:t xml:space="preserve">INFORMATION_SCHEMA</w:t>
            </w:r>
            <w:r>
              <w:rPr>
                <w:b/>
                <w:bCs/>
              </w:rPr>
              <w:t xml:space="preserve"> </w:t>
            </w:r>
            <w:r>
              <w:rPr>
                <w:b/>
                <w:bCs/>
              </w:rPr>
              <w:t xml:space="preserve">views, Cloud Monitoring</w:t>
            </w:r>
          </w:p>
        </w:tc>
        <w:tc>
          <w:tcPr/>
          <w:p>
            <w:pPr>
              <w:pStyle w:val="Compact"/>
            </w:pPr>
            <w:r>
              <w:t xml:space="preserve">Every query and load is a job with metadata you can query in SQL.</w:t>
            </w:r>
          </w:p>
        </w:tc>
      </w:tr>
    </w:tbl>
    <w:bookmarkEnd w:id="12"/>
    <w:bookmarkStart w:id="13" w:name="instincts-that-transfer"/>
    <w:p>
      <w:pPr>
        <w:pStyle w:val="Heading2"/>
      </w:pPr>
      <w:r>
        <w:t xml:space="preserve">Instincts that transfer</w:t>
      </w:r>
    </w:p>
    <w:p>
      <w:pPr>
        <w:pStyle w:val="FirstParagraph"/>
      </w:pPr>
      <w:r>
        <w:t xml:space="preserve">You don't need new engineering judgment for this platform — you need to point your existing judgment at new consoles. Seven instincts, unchanged:</w:t>
      </w:r>
    </w:p>
    <w:p>
      <w:pPr>
        <w:numPr>
          <w:ilvl w:val="0"/>
          <w:numId w:val="1001"/>
        </w:numPr>
      </w:pPr>
      <w:r>
        <w:rPr>
          <w:b/>
          <w:bCs/>
        </w:rPr>
        <w:t xml:space="preserve">Your CI/CD discipline is exactly how Dataform releases work.</w:t>
      </w:r>
      <w:r>
        <w:t xml:space="preserve"> </w:t>
      </w:r>
      <w:r>
        <w:t xml:space="preserve">Models are</w:t>
      </w:r>
      <w:r>
        <w:t xml:space="preserve"> </w:t>
      </w:r>
      <w:r>
        <w:rPr>
          <w:rStyle w:val="VerbatimChar"/>
        </w:rPr>
        <w:t xml:space="preserve">.sqlx</w:t>
      </w:r>
      <w:r>
        <w:t xml:space="preserve"> </w:t>
      </w:r>
      <w:r>
        <w:t xml:space="preserve">files in git; you review changes in PRs; a release configuration promotes a git commit to run on a schedule. The pipeline rigor your team built for SQL Server deployments is the correct mental model, and most teams new to GCP don't have it — you do.</w:t>
      </w:r>
    </w:p>
    <w:p>
      <w:pPr>
        <w:numPr>
          <w:ilvl w:val="0"/>
          <w:numId w:val="1001"/>
        </w:numPr>
      </w:pPr>
      <w:r>
        <w:rPr>
          <w:b/>
          <w:bCs/>
        </w:rPr>
        <w:t xml:space="preserve">You never trusted "Suggest Types" in SSIS — don't trust autodetect here.</w:t>
      </w:r>
      <w:r>
        <w:t xml:space="preserve"> </w:t>
      </w:r>
      <w:r>
        <w:t xml:space="preserve">Autodetect samples the start of a file; a dirty value deeper in gets either a loud failure or a silently wrong schema (and the silent one costs you days). For anything recurring: pin a schema JSON in source control and name your null markers (</w:t>
      </w:r>
      <w:r>
        <w:rPr>
          <w:rStyle w:val="VerbatimChar"/>
        </w:rPr>
        <w:t xml:space="preserve">--null_marker='N/A'</w:t>
      </w:r>
      <w:r>
        <w:t xml:space="preserve">). You do this dance on Day 1.</w:t>
      </w:r>
    </w:p>
    <w:p>
      <w:pPr>
        <w:numPr>
          <w:ilvl w:val="0"/>
          <w:numId w:val="1001"/>
        </w:numPr>
      </w:pPr>
      <w:r>
        <w:rPr>
          <w:b/>
          <w:bCs/>
        </w:rPr>
        <w:t xml:space="preserve">Jobs should be idempotent and re-runnable.</w:t>
      </w:r>
      <w:r>
        <w:t xml:space="preserve"> </w:t>
      </w:r>
      <w:r>
        <w:t xml:space="preserve">Same rule, new syntax: overwrite partitions (</w:t>
      </w:r>
      <w:r>
        <w:rPr>
          <w:rStyle w:val="VerbatimChar"/>
        </w:rPr>
        <w:t xml:space="preserve">WRITE_TRUNCATE</w:t>
      </w:r>
      <w:r>
        <w:t xml:space="preserve">), use incremental models keyed on a watermark, and design so that re-running last Tuesday is a non-event.</w:t>
      </w:r>
    </w:p>
    <w:p>
      <w:pPr>
        <w:numPr>
          <w:ilvl w:val="0"/>
          <w:numId w:val="1001"/>
        </w:numPr>
      </w:pPr>
      <w:r>
        <w:rPr>
          <w:b/>
          <w:bCs/>
        </w:rPr>
        <w:t xml:space="preserve">Least-privilege service identities.</w:t>
      </w:r>
      <w:r>
        <w:t xml:space="preserve"> </w:t>
      </w:r>
      <w:r>
        <w:t xml:space="preserve">A job gets a service account scoped to exactly what it reads and writes — the proxy-account discipline, one-for-one.</w:t>
      </w:r>
    </w:p>
    <w:p>
      <w:pPr>
        <w:numPr>
          <w:ilvl w:val="0"/>
          <w:numId w:val="1001"/>
        </w:numPr>
      </w:pPr>
      <w:r>
        <w:rPr>
          <w:b/>
          <w:bCs/>
        </w:rPr>
        <w:t xml:space="preserve">Environment separation.</w:t>
      </w:r>
      <w:r>
        <w:t xml:space="preserve"> </w:t>
      </w:r>
      <w:r>
        <w:t xml:space="preserve">Dev/test/prod become separate GCP projects (or datasets), with IAM doing the walling-off you used to do with separate instances.</w:t>
      </w:r>
    </w:p>
    <w:p>
      <w:pPr>
        <w:numPr>
          <w:ilvl w:val="0"/>
          <w:numId w:val="1001"/>
        </w:numPr>
      </w:pPr>
      <w:r>
        <w:rPr>
          <w:b/>
          <w:bCs/>
        </w:rPr>
        <w:t xml:space="preserve">Estimate before you execute.</w:t>
      </w:r>
      <w:r>
        <w:t xml:space="preserve"> </w:t>
      </w:r>
      <w:r>
        <w:t xml:space="preserve">You read execution plans before running something big in production; here you read the</w:t>
      </w:r>
      <w:r>
        <w:t xml:space="preserve"> </w:t>
      </w:r>
      <w:r>
        <w:rPr>
          <w:b/>
          <w:bCs/>
        </w:rPr>
        <w:t xml:space="preserve">bytes-processed estimate</w:t>
      </w:r>
      <w:r>
        <w:t xml:space="preserve"> </w:t>
      </w:r>
      <w:r>
        <w:t xml:space="preserve">next to the RUN button before pressing it. Same instinct, cheaper mistakes.</w:t>
      </w:r>
    </w:p>
    <w:p>
      <w:pPr>
        <w:numPr>
          <w:ilvl w:val="0"/>
          <w:numId w:val="1001"/>
        </w:numPr>
      </w:pPr>
      <w:r>
        <w:rPr>
          <w:b/>
          <w:bCs/>
        </w:rPr>
        <w:t xml:space="preserve">Monitor freshness, not job success.</w:t>
      </w:r>
      <w:r>
        <w:t xml:space="preserve"> </w:t>
      </w:r>
      <w:r>
        <w:t xml:space="preserve">A replication stream has a freshness metric instead of a 2 AM job that either mailed you or didn't. The M&amp;O question shifts from "did the job finish?" to "how stale is the data?" — a better question, and one you already know how to operationalize.</w:t>
      </w:r>
    </w:p>
    <w:bookmarkEnd w:id="13"/>
    <w:bookmarkStart w:id="15" w:name="where-this-card-gets-used"/>
    <w:p>
      <w:pPr>
        <w:pStyle w:val="Heading2"/>
      </w:pPr>
      <w:r>
        <w:t xml:space="preserve">Where this card gets used</w:t>
      </w:r>
    </w:p>
    <w:p>
      <w:pPr>
        <w:pStyle w:val="Compact"/>
        <w:numPr>
          <w:ilvl w:val="0"/>
          <w:numId w:val="1002"/>
        </w:numPr>
      </w:pPr>
      <w:r>
        <w:t xml:space="preserve">Day 1, 09:25 — the building-blocks block walks the compute &amp; storage rows</w:t>
      </w:r>
    </w:p>
    <w:p>
      <w:pPr>
        <w:pStyle w:val="Compact"/>
        <w:numPr>
          <w:ilvl w:val="0"/>
          <w:numId w:val="1002"/>
        </w:numPr>
      </w:pPr>
      <w:r>
        <w:t xml:space="preserve">Day 1, 11:10 — the replication row becomes your extract-killer</w:t>
      </w:r>
    </w:p>
    <w:p>
      <w:pPr>
        <w:pStyle w:val="Compact"/>
        <w:numPr>
          <w:ilvl w:val="0"/>
          <w:numId w:val="1002"/>
        </w:numPr>
      </w:pPr>
      <w:r>
        <w:t xml:space="preserve">Day 1, 16:05 — the orchestration rows become your automation map</w:t>
      </w:r>
    </w:p>
    <w:p>
      <w:pPr>
        <w:pStyle w:val="Compact"/>
        <w:numPr>
          <w:ilvl w:val="0"/>
          <w:numId w:val="1002"/>
        </w:numPr>
      </w:pPr>
      <w:r>
        <w:t xml:space="preserve">Day 2, 14:00 — the security rows become governance across the medallion</w:t>
      </w:r>
    </w:p>
    <w:p>
      <w:pPr>
        <w:pStyle w:val="Compact"/>
        <w:numPr>
          <w:ilvl w:val="0"/>
          <w:numId w:val="1002"/>
        </w:numPr>
      </w:pPr>
      <w:r>
        <w:t xml:space="preserve">Always: the</w:t>
      </w:r>
      <w:r>
        <w:t xml:space="preserve"> </w:t>
      </w:r>
      <w:hyperlink r:id="rId14">
        <w:r>
          <w:rPr>
            <w:rStyle w:val="Hyperlink"/>
          </w:rPr>
          <w:t xml:space="preserve">glossary</w:t>
        </w:r>
      </w:hyperlink>
      <w:r>
        <w:t xml:space="preserve"> </w:t>
      </w:r>
      <w:r>
        <w:t xml:space="preserve">defines any term above in one line</w:t>
      </w:r>
    </w:p>
    <w:p>
      <w:pPr>
        <w:pStyle w:val="FirstParagraph"/>
      </w:pPr>
      <w:r>
        <w:rPr>
          <w:i/>
          <w:iCs/>
        </w:rPr>
        <w:t xml:space="preserve">Part of the Iowa DOM DoIT Data Engineering student pack — see</w:t>
      </w:r>
      <w:r>
        <w:rPr>
          <w:i/>
          <w:iCs/>
        </w:rPr>
        <w:t xml:space="preserve"> </w:t>
      </w:r>
      <w:r>
        <w:rPr>
          <w:rStyle w:val="VerbatimChar"/>
          <w:i/>
          <w:iCs/>
        </w:rPr>
        <w:t xml:space="preserve">../README.md</w:t>
      </w:r>
      <w:r>
        <w:rPr>
          <w:i/>
          <w:iCs/>
        </w:rPr>
        <w:t xml:space="preserve">.</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glossary.pdf" TargetMode="External" /></Relationships>
</file>

<file path=word/_rels/footnotes.xml.rels><?xml version="1.0" encoding="UTF-8"?><Relationships xmlns="http://schemas.openxmlformats.org/package/2006/relationships"><Relationship Type="http://schemas.openxmlformats.org/officeDocument/2006/relationships/hyperlink" Id="rId14" Target="glossary.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2026-10-03T16:14:56Z</dcterms:created>
  <dcterms:modified xsi:type="dcterms:W3CDTF">2026-10-03T16:14:56Z</dcterms:modified>
</cp:coreProperties>
</file>

<file path=docProps/custom.xml><?xml version="1.0" encoding="utf-8"?>
<Properties xmlns="http://schemas.openxmlformats.org/officeDocument/2006/custom-properties" xmlns:vt="http://schemas.openxmlformats.org/officeDocument/2006/docPropsVTypes"/>
</file>