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a30ed4fa98aa8b00a5bbeaf7ba6a5fd315d028"/>
    <w:p>
      <w:pPr>
        <w:pStyle w:val="Heading1"/>
      </w:pPr>
      <w:r>
        <w:t xml:space="preserve">Power BI ↔ BigQuery: connecting your Gold marts</w:t>
      </w:r>
    </w:p>
    <w:p>
      <w:pPr>
        <w:pStyle w:val="FirstParagraph"/>
      </w:pPr>
      <w:r>
        <w:t xml:space="preserve">The last-mile guide from Day 2 (Tue Oct 6, ~3:05 PM CT), written to keep: how to point your existing Power BI reports at BigQuery Gold marts — desktop connection, the Import vs DirectQuery decision, service-side credentials, and the gateway answer for the M&amp;O team.</w:t>
      </w:r>
    </w:p>
    <w:bookmarkStart w:id="9" w:name="why-this-matters-for-your-migration"/>
    <w:p>
      <w:pPr>
        <w:pStyle w:val="Heading2"/>
      </w:pPr>
      <w:r>
        <w:t xml:space="preserve">Why this matters for your migration</w:t>
      </w:r>
    </w:p>
    <w:p>
      <w:pPr>
        <w:pStyle w:val="FirstParagraph"/>
      </w:pPr>
      <w:r>
        <w:t xml:space="preserve">Your migration's endgame is one sentence:</w:t>
      </w:r>
      <w:r>
        <w:t xml:space="preserve"> </w:t>
      </w:r>
      <w:r>
        <w:rPr>
          <w:b/>
          <w:bCs/>
        </w:rPr>
        <w:t xml:space="preserve">your reports don't change, their source does.</w:t>
      </w:r>
      <w:r>
        <w:t xml:space="preserve"> </w:t>
      </w:r>
      <w:r>
        <w:t xml:space="preserve">The state's Power BI estate stays exactly as it is — same report authors, same workspaces, same consumers. The only thing that changes is where "Get Data" points. This guide is that change, end to end.</w:t>
      </w:r>
    </w:p>
    <w:bookmarkEnd w:id="9"/>
    <w:bookmarkStart w:id="11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BI Desktop, June 2021 or newer.</w:t>
      </w:r>
      <w:r>
        <w:t xml:space="preserve"> </w:t>
      </w:r>
      <w:r>
        <w:t xml:space="preserve">Google sign-in from Power BI requires it (Google discontinued embedded-browser sign-ins in 2021).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own Google account</w:t>
      </w:r>
      <w:r>
        <w:t xml:space="preserve">, with access to the GCP project that holds the Gold dataset. To connect and query, your account needs</w:t>
      </w:r>
      <w:r>
        <w:t xml:space="preserve"> </w:t>
      </w:r>
      <w:r>
        <w:rPr>
          <w:rStyle w:val="VerbatimChar"/>
        </w:rPr>
        <w:t xml:space="preserve">roles/bigquery.dataViewer</w:t>
      </w:r>
      <w:r>
        <w:t xml:space="preserve"> </w:t>
      </w:r>
      <w:r>
        <w:t xml:space="preserve">on the Gold dataset and</w:t>
      </w:r>
      <w:r>
        <w:t xml:space="preserve"> </w:t>
      </w:r>
      <w:r>
        <w:rPr>
          <w:rStyle w:val="VerbatimChar"/>
        </w:rPr>
        <w:t xml:space="preserve">roles/bigquery.jobUser</w:t>
      </w:r>
      <w:r>
        <w:t xml:space="preserve"> </w:t>
      </w:r>
      <w:r>
        <w:t xml:space="preserve">on the project — your GCP admin grants both. If you can query the mart in the BigQuery console, you can connect to it from Power BI.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 your target's full name:</w:t>
      </w:r>
      <w:r>
        <w:t xml:space="preserve"> </w:t>
      </w:r>
      <w:r>
        <w:t xml:space="preserve">project → dataset → table — the same hierarchy you used in the console all course long.</w:t>
      </w:r>
    </w:p>
    <w:p>
      <w:pPr>
        <w:pStyle w:val="Compact"/>
        <w:numPr>
          <w:ilvl w:val="0"/>
          <w:numId w:val="1001"/>
        </w:numPr>
      </w:pPr>
      <w:r>
        <w:t xml:space="preserve">Reference doc to bookmark: Microsoft keeps the connector's supported-features table and auth notes at</w:t>
      </w:r>
      <w:r>
        <w:t xml:space="preserve"> </w:t>
      </w:r>
      <w:hyperlink r:id="rId10">
        <w:r>
          <w:rPr>
            <w:rStyle w:val="Hyperlink"/>
          </w:rPr>
          <w:t xml:space="preserve">Google BigQuery connector (Power Query)</w:t>
        </w:r>
      </w:hyperlink>
      <w:r>
        <w:t xml:space="preserve">. Check it when you set this up for real — the details below are stable, the dialogs evolve.</w:t>
      </w:r>
    </w:p>
    <w:bookmarkEnd w:id="11"/>
    <w:bookmarkStart w:id="12" w:name="step-1-connect-from-power-bi-desktop"/>
    <w:p>
      <w:pPr>
        <w:pStyle w:val="Heading2"/>
      </w:pPr>
      <w:r>
        <w:t xml:space="preserve">Step 1: Connect from Power BI Desktop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Home → Get Data → More…</w:t>
      </w:r>
      <w:r>
        <w:t xml:space="preserve">, then find</w:t>
      </w:r>
      <w:r>
        <w:t xml:space="preserve"> </w:t>
      </w:r>
      <w:r>
        <w:rPr>
          <w:b/>
          <w:bCs/>
        </w:rPr>
        <w:t xml:space="preserve">Google BigQuery</w:t>
      </w:r>
      <w:r>
        <w:t xml:space="preserve"> </w:t>
      </w:r>
      <w:r>
        <w:t xml:space="preserve">(search for it, or look in the Database category) →</w:t>
      </w:r>
      <w:r>
        <w:t xml:space="preserve"> </w:t>
      </w:r>
      <w:r>
        <w:rPr>
          <w:b/>
          <w:bCs/>
        </w:rPr>
        <w:t xml:space="preserve">Connect</w:t>
      </w:r>
      <w:r>
        <w:t xml:space="preserve">. The connector ships in the box; it is the same Power Query connector Excel uses.</w:t>
      </w:r>
    </w:p>
    <w:p>
      <w:pPr>
        <w:pStyle w:val="Compact"/>
        <w:numPr>
          <w:ilvl w:val="0"/>
          <w:numId w:val="1002"/>
        </w:numPr>
      </w:pPr>
      <w:r>
        <w:t xml:space="preserve">Leave</w:t>
      </w:r>
      <w:r>
        <w:t xml:space="preserve"> </w:t>
      </w:r>
      <w:r>
        <w:rPr>
          <w:b/>
          <w:bCs/>
        </w:rPr>
        <w:t xml:space="preserve">Advanced options</w:t>
      </w:r>
      <w:r>
        <w:t xml:space="preserve"> </w:t>
      </w:r>
      <w:r>
        <w:t xml:space="preserve">alone for a first connection (that is where a billing project or a custom SQL statement would go). Select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 in.</w:t>
      </w:r>
      <w:r>
        <w:t xml:space="preserve"> </w:t>
      </w:r>
      <w:r>
        <w:t xml:space="preserve">Choose the organizational-account sign-in, then</w:t>
      </w:r>
      <w:r>
        <w:t xml:space="preserve"> </w:t>
      </w:r>
      <w:r>
        <w:rPr>
          <w:b/>
          <w:bCs/>
        </w:rPr>
        <w:t xml:space="preserve">Sign In</w:t>
      </w:r>
      <w:r>
        <w:t xml:space="preserve">. A "Sign in with Google" dialog appears: pick your Google account and approve connecting to Power BI Desktop. Select</w:t>
      </w:r>
      <w:r>
        <w:t xml:space="preserve"> </w:t>
      </w:r>
      <w:r>
        <w:rPr>
          <w:b/>
          <w:bCs/>
        </w:rPr>
        <w:t xml:space="preserve">Connect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Navigator.</w:t>
      </w:r>
      <w:r>
        <w:t xml:space="preserve"> </w:t>
      </w:r>
      <w:r>
        <w:t xml:space="preserve">Expand the tree — project → dataset → table — and pick your mart table. Projects and datasets appear exactly as they do in the GCP console: the resource hierarchy you learned on Day 1, surfacing inside your existing BI tool.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 Import or DirectQuery</w:t>
      </w:r>
      <w:r>
        <w:t xml:space="preserve"> </w:t>
      </w:r>
      <w:r>
        <w:t xml:space="preserve">when the dialog offers both. For a first look, pick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and load — the decision deserves the table below, not a coin flip.</w:t>
      </w:r>
    </w:p>
    <w:p>
      <w:pPr>
        <w:pStyle w:val="Compact"/>
        <w:numPr>
          <w:ilvl w:val="0"/>
          <w:numId w:val="100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Load</w:t>
      </w:r>
      <w:r>
        <w:t xml:space="preserve">. The table lands in the model, in the Fields pane. From here everything is the Power BI you already know — DAX, visuals, publish to the service. Nothing on the report side changes.</w:t>
      </w:r>
    </w:p>
    <w:p>
      <w:pPr>
        <w:pStyle w:val="FirstParagraph"/>
      </w:pPr>
      <w:r>
        <w:rPr>
          <w:b/>
          <w:bCs/>
        </w:rPr>
        <w:t xml:space="preserve">What the Google sign-in actually means:</w:t>
      </w:r>
      <w:r>
        <w:t xml:space="preserve"> </w:t>
      </w:r>
      <w:r>
        <w:t xml:space="preserve">the connector uses OAuth, so</w:t>
      </w:r>
      <w:r>
        <w:t xml:space="preserve"> </w:t>
      </w:r>
      <w:r>
        <w:rPr>
          <w:b/>
          <w:bCs/>
        </w:rPr>
        <w:t xml:space="preserve">BigQuery sees the report author as a person.</w:t>
      </w:r>
      <w:r>
        <w:t xml:space="preserve"> </w:t>
      </w:r>
      <w:r>
        <w:t xml:space="preserve">IAM on the Gold dataset applies to each author individually — including any row- or column-level security you define there — and the BigQuery audit trail shows real people running real queries, not a shared SQL login. Access is granted and revoked in IAM, per person. That is a feature: treat it as one, and never share a single Google account across authors.</w:t>
      </w:r>
    </w:p>
    <w:bookmarkEnd w:id="12"/>
    <w:bookmarkStart w:id="13" w:name="X99ecd122ed77ca14cfe8e6f015522ac70e2eb9d"/>
    <w:p>
      <w:pPr>
        <w:pStyle w:val="Heading2"/>
      </w:pPr>
      <w:r>
        <w:t xml:space="preserve">Step 2: The decision — Import vs DirectQuery</w:t>
      </w:r>
    </w:p>
    <w:p>
      <w:pPr>
        <w:pStyle w:val="FirstParagraph"/>
      </w:pPr>
      <w:r>
        <w:t xml:space="preserve">The connector supports both. They are not interchangeable; choose per mart.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</w:t>
            </w:r>
            <w:r>
              <w:t xml:space="preserve"> </w:t>
            </w:r>
            <w:r>
              <w:t xml:space="preserve">(data cached in Power BI)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DirectQuery</w:t>
            </w:r>
            <w:r>
              <w:t xml:space="preserve"> </w:t>
            </w:r>
            <w:r>
              <w:t xml:space="preserve">(live queries to BigQuery)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Stale until the next refresh — fine for daily marts</w:t>
            </w:r>
          </w:p>
        </w:tc>
        <w:tc>
          <w:tcPr/>
          <w:p>
            <w:pPr>
              <w:pStyle w:val="Compact"/>
            </w:pPr>
            <w:r>
              <w:t xml:space="preserve">Current on every visual interaction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BigQuery cost</w:t>
            </w:r>
          </w:p>
        </w:tc>
        <w:tc>
          <w:tcPr/>
          <w:p>
            <w:pPr>
              <w:pStyle w:val="Compact"/>
            </w:pPr>
            <w:r>
              <w:t xml:space="preserve">One query per refresh — small and predictable</w:t>
            </w:r>
          </w:p>
        </w:tc>
        <w:tc>
          <w:tcPr/>
          <w:p>
            <w:pPr>
              <w:pStyle w:val="Compact"/>
            </w:pPr>
            <w:r>
              <w:t xml:space="preserve">A query per visual, per user, per click — bills scan bytes continuously; on on-demand pricing this needs watching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 performance</w:t>
            </w:r>
          </w:p>
        </w:tc>
        <w:tc>
          <w:tcPr/>
          <w:p>
            <w:pPr>
              <w:pStyle w:val="Compact"/>
            </w:pPr>
            <w:r>
              <w:t xml:space="preserve">Fastest — data sits in-memory in Power BI</w:t>
            </w:r>
          </w:p>
        </w:tc>
        <w:tc>
          <w:tcPr/>
          <w:p>
            <w:pPr>
              <w:pStyle w:val="Compact"/>
            </w:pPr>
            <w:r>
              <w:t xml:space="preserve">Bounded by BigQuery response time — usually seconds; fine on well-partitioned Gold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Full DAX, all visuals</w:t>
            </w:r>
          </w:p>
        </w:tc>
        <w:tc>
          <w:tcPr/>
          <w:p>
            <w:pPr>
              <w:pStyle w:val="Compact"/>
            </w:pPr>
            <w:r>
              <w:t xml:space="preserve">Some DAX and visual limitations (standard DirectQuery rules)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Fits Iowa when…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for your nightly-built Gold marts</w:t>
            </w:r>
            <w:r>
              <w:t xml:space="preserve"> </w:t>
            </w:r>
            <w:r>
              <w:t xml:space="preserve">— Dataform rebuilds the marts on a schedule anyway, so a refresh right after the build matches reality</w:t>
            </w:r>
          </w:p>
        </w:tc>
        <w:tc>
          <w:tcPr/>
          <w:p>
            <w:pPr>
              <w:pStyle w:val="Compact"/>
            </w:pPr>
            <w:r>
              <w:t xml:space="preserve">Executives need intra-day freshness, or a dataset is too large to cache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start with Import plus scheduled refresh, aligned to the Dataform release schedule.</w:t>
      </w:r>
      <w:r>
        <w:t xml:space="preserve"> </w:t>
      </w:r>
      <w:r>
        <w:t xml:space="preserve">Your marts are rebuilt nightly by design — DirectQuery buys freshness the pipeline does not have yet. Revisit per mart when streaming use cases appear; and note the cost math changes if you move to slot/flat-rate pricing — that is a Data Warehousing course conversation.</w:t>
      </w:r>
    </w:p>
    <w:bookmarkEnd w:id="13"/>
    <w:bookmarkStart w:id="14" w:name="X213f78e4625a141cdbafe83320d28e49b94acdc"/>
    <w:p>
      <w:pPr>
        <w:pStyle w:val="Heading2"/>
      </w:pPr>
      <w:r>
        <w:t xml:space="preserve">Step 3: Publish — auth in the Power BI service</w:t>
      </w:r>
    </w:p>
    <w:p>
      <w:pPr>
        <w:pStyle w:val="FirstParagraph"/>
      </w:pPr>
      <w:r>
        <w:t xml:space="preserve">Two identities, two stories. Keep them distinct.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 BI Desktop (report authors):</w:t>
      </w:r>
      <w:r>
        <w:t xml:space="preserve"> </w:t>
      </w:r>
      <w:r>
        <w:t xml:space="preserve">each author signs in with their</w:t>
      </w:r>
      <w:r>
        <w:t xml:space="preserve"> </w:t>
      </w:r>
      <w:r>
        <w:rPr>
          <w:b/>
          <w:bCs/>
        </w:rPr>
        <w:t xml:space="preserve">own Google account (OAuth)</w:t>
      </w:r>
      <w:r>
        <w:t xml:space="preserve">, as above. BigQuery sees the person; IAM and row/column security apply per author; the audit trail is real people. No service accounts on desktops.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 BI service (published reports, scheduled refresh):</w:t>
      </w:r>
      <w:r>
        <w:t xml:space="preserve"> </w:t>
      </w:r>
      <w:r>
        <w:t xml:space="preserve">the stored data-source credentials should be a</w:t>
      </w:r>
      <w:r>
        <w:t xml:space="preserve"> </w:t>
      </w:r>
      <w:r>
        <w:rPr>
          <w:b/>
          <w:bCs/>
        </w:rPr>
        <w:t xml:space="preserve">service account</w:t>
      </w:r>
      <w:r>
        <w:t xml:space="preserve"> </w:t>
      </w:r>
      <w:r>
        <w:t xml:space="preserve">— a non-human identity whose only job is "read the Gold dataset." Minimum roles:</w:t>
      </w:r>
      <w:r>
        <w:t xml:space="preserve"> </w:t>
      </w:r>
      <w:r>
        <w:rPr>
          <w:rStyle w:val="VerbatimChar"/>
        </w:rPr>
        <w:t xml:space="preserve">roles/bigquery.dataViewer</w:t>
      </w:r>
      <w:r>
        <w:t xml:space="preserve"> </w:t>
      </w:r>
      <w:r>
        <w:t xml:space="preserve">on the Gold dataset, plus</w:t>
      </w:r>
      <w:r>
        <w:t xml:space="preserve"> </w:t>
      </w:r>
      <w:r>
        <w:rPr>
          <w:rStyle w:val="VerbatimChar"/>
        </w:rPr>
        <w:t xml:space="preserve">roles/bigquery.jobUser</w:t>
      </w:r>
      <w:r>
        <w:t xml:space="preserve"> </w:t>
      </w:r>
      <w:r>
        <w:t xml:space="preserve">on the project so it can run query jobs. Set this under the semantic model's</w:t>
      </w:r>
      <w:r>
        <w:t xml:space="preserve"> </w:t>
      </w:r>
      <w:r>
        <w:rPr>
          <w:b/>
          <w:bCs/>
        </w:rPr>
        <w:t xml:space="preserve">Settings → Data source credentials</w:t>
      </w:r>
      <w:r>
        <w:t xml:space="preserve"> </w:t>
      </w:r>
      <w:r>
        <w:t xml:space="preserve">in the service; the connector supports service-account sign-in (account email plus JSON key). Scheduled refresh of an Import dataset runs as this identity.</w:t>
      </w:r>
    </w:p>
    <w:p>
      <w:pPr>
        <w:pStyle w:val="FirstParagraph"/>
      </w:pPr>
      <w:r>
        <w:t xml:space="preserve">You already enforce this discipline today — a service account for the Power BI service is the same instinct as a SQL Agent proxy account: a least-privilege, non-human identity that owns exactly one job. Same rule, new console.</w:t>
      </w:r>
    </w:p>
    <w:p>
      <w:pPr>
        <w:pStyle w:val="BodyText"/>
      </w:pPr>
      <w:r>
        <w:t xml:space="preserve">One honest caveat: the exact credential options in the service evolve. The pattern — user OAuth on the desktop, service account in the service — is stable; confirm the current dialogs on the</w:t>
      </w:r>
      <w:r>
        <w:t xml:space="preserve"> </w:t>
      </w:r>
      <w:hyperlink r:id="rId10">
        <w:r>
          <w:rPr>
            <w:rStyle w:val="Hyperlink"/>
          </w:rPr>
          <w:t xml:space="preserve">Microsoft connector page</w:t>
        </w:r>
      </w:hyperlink>
      <w:r>
        <w:t xml:space="preserve"> </w:t>
      </w:r>
      <w:r>
        <w:t xml:space="preserve">when you set it up.</w:t>
      </w:r>
    </w:p>
    <w:bookmarkEnd w:id="14"/>
    <w:bookmarkStart w:id="15" w:name="gateway-note--for-the-mo-team"/>
    <w:p>
      <w:pPr>
        <w:pStyle w:val="Heading2"/>
      </w:pPr>
      <w:r>
        <w:t xml:space="preserve">Gateway note — for the M&amp;O team</w:t>
      </w:r>
    </w:p>
    <w:p>
      <w:pPr>
        <w:pStyle w:val="FirstParagraph"/>
      </w:pPr>
      <w:r>
        <w:t xml:space="preserve">BigQuery is a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source: scheduled refresh from the Power BI service to BigQuery needs</w:t>
      </w:r>
      <w:r>
        <w:t xml:space="preserve"> </w:t>
      </w:r>
      <w:r>
        <w:rPr>
          <w:b/>
          <w:bCs/>
        </w:rPr>
        <w:t xml:space="preserve">no on-premises data gateway</w:t>
      </w:r>
      <w:r>
        <w:t xml:space="preserve">. The gateway enters the picture only if a report</w:t>
      </w:r>
      <w:r>
        <w:t xml:space="preserve"> </w:t>
      </w:r>
      <w:r>
        <w:rPr>
          <w:b/>
          <w:bCs/>
        </w:rPr>
        <w:t xml:space="preserve">mashes up BigQuery with on-prem sources</w:t>
      </w:r>
      <w:r>
        <w:t xml:space="preserve"> </w:t>
      </w:r>
      <w:r>
        <w:t xml:space="preserve">(your SQL Server, file shares) — then one on-premises data gateway serves the on-prem legs, the same gateway infrastructure you run today. As sources move to the cloud, your gateway footprint gets quieter, not bigger.</w:t>
      </w:r>
    </w:p>
    <w:bookmarkEnd w:id="15"/>
    <w:bookmarkStart w:id="16" w:name="common-gotchas"/>
    <w:p>
      <w:pPr>
        <w:pStyle w:val="Heading2"/>
      </w:pPr>
      <w:r>
        <w:t xml:space="preserve">Common gotchas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Signed in with the wrong Google account.</w:t>
      </w:r>
      <w:r>
        <w:t xml:space="preserve"> </w:t>
      </w:r>
      <w:r>
        <w:t xml:space="preserve">Lab accounts, personal Gmail, work identity — the OAuth dialog happily uses whichever browser session is active, and Power BI caches it. Symptom: Navigator shows the wrong projects, or none. Fix:</w:t>
      </w:r>
      <w:r>
        <w:t xml:space="preserve"> </w:t>
      </w:r>
      <w:r>
        <w:rPr>
          <w:b/>
          <w:bCs/>
        </w:rPr>
        <w:t xml:space="preserve">File → Options and settings → Data source settings</w:t>
      </w:r>
      <w:r>
        <w:t xml:space="preserve">, clear the BigQuery permission, and sign in again deliberately.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Can't see your project or dataset in the Navigator.</w:t>
      </w:r>
      <w:r>
        <w:t xml:space="preserve"> </w:t>
      </w:r>
      <w:r>
        <w:t xml:space="preserve">That is almost always IAM, not the connector: your account needs</w:t>
      </w:r>
      <w:r>
        <w:t xml:space="preserve"> </w:t>
      </w:r>
      <w:r>
        <w:rPr>
          <w:rStyle w:val="VerbatimChar"/>
        </w:rPr>
        <w:t xml:space="preserve">dataViewer</w:t>
      </w:r>
      <w:r>
        <w:t xml:space="preserve"> </w:t>
      </w:r>
      <w:r>
        <w:t xml:space="preserve">on the dataset and</w:t>
      </w:r>
      <w:r>
        <w:t xml:space="preserve"> </w:t>
      </w:r>
      <w:r>
        <w:rPr>
          <w:rStyle w:val="VerbatimChar"/>
        </w:rPr>
        <w:t xml:space="preserve">jobUser</w:t>
      </w:r>
      <w:r>
        <w:t xml:space="preserve"> </w:t>
      </w:r>
      <w:r>
        <w:t xml:space="preserve">on the project. Test in the BigQuery console first — if you can query the table there, the connector will see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Wrong project picked.</w:t>
      </w:r>
      <w:r>
        <w:t xml:space="preserve"> </w:t>
      </w:r>
      <w:r>
        <w:t xml:space="preserve">Same wrong-project trap as the console picker on Day 1 — in an estate with many projects, confirm the project name before you expand anything.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DirectQuery bill shock.</w:t>
      </w:r>
      <w:r>
        <w:t xml:space="preserve"> </w:t>
      </w:r>
      <w:r>
        <w:t xml:space="preserve">Every visual interaction by every user issues a live BigQuery query. On on-demand pricing, a popular DirectQuery dashboard is a metering device. This is why the default above is Import.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Scheduled refresh fails after publish.</w:t>
      </w:r>
      <w:r>
        <w:t xml:space="preserve"> </w:t>
      </w:r>
      <w:r>
        <w:t xml:space="preserve">You loaded data in Desktop, so it must be fine — no: the service needs its own stored credentials (the service account above), and that account needs</w:t>
      </w:r>
      <w:r>
        <w:t xml:space="preserve"> </w:t>
      </w:r>
      <w:r>
        <w:rPr>
          <w:rStyle w:val="VerbatimChar"/>
        </w:rPr>
        <w:t xml:space="preserve">jobUser</w:t>
      </w:r>
      <w:r>
        <w:t xml:space="preserve"> </w:t>
      </w:r>
      <w:r>
        <w:t xml:space="preserve">or every refresh job fails to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Google sign-in fails or loops.</w:t>
      </w:r>
      <w:r>
        <w:t xml:space="preserve"> </w:t>
      </w:r>
      <w:r>
        <w:t xml:space="preserve">Check the Power BI Desktop version — pre-June-2021 builds cannot complete Google sign-in.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IT policy demands a gateway.</w:t>
      </w:r>
      <w:r>
        <w:t xml:space="preserve"> </w:t>
      </w:r>
      <w:r>
        <w:t xml:space="preserve">Only true if the report also touches on-prem sources. BigQuery alone never needs one.</w:t>
      </w:r>
    </w:p>
    <w:bookmarkEnd w:id="16"/>
    <w:bookmarkStart w:id="17" w:name="verify-it-works"/>
    <w:p>
      <w:pPr>
        <w:pStyle w:val="Heading2"/>
      </w:pPr>
      <w:r>
        <w:t xml:space="preserve">Verify it works</w:t>
      </w:r>
    </w:p>
    <w:p>
      <w:pPr>
        <w:pStyle w:val="Compact"/>
        <w:numPr>
          <w:ilvl w:val="0"/>
          <w:numId w:val="1005"/>
        </w:numPr>
      </w:pPr>
      <w:r>
        <w:t xml:space="preserve">The mart table appears in the Fields pane after Load, with the expected row count (compare against a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in the BigQuery console).</w:t>
      </w:r>
    </w:p>
    <w:p>
      <w:pPr>
        <w:pStyle w:val="Compact"/>
        <w:numPr>
          <w:ilvl w:val="0"/>
          <w:numId w:val="1006"/>
        </w:numPr>
      </w:pPr>
      <w:r>
        <w:t xml:space="preserve">A visual you already own (reuse an existing report page) renders against the new source with no measure changes.</w:t>
      </w:r>
    </w:p>
    <w:p>
      <w:pPr>
        <w:pStyle w:val="Compact"/>
        <w:numPr>
          <w:ilvl w:val="0"/>
          <w:numId w:val="1007"/>
        </w:numPr>
      </w:pPr>
      <w:r>
        <w:t xml:space="preserve">After publish, the semantic model's data-source credentials hold the service account, and a manual</w:t>
      </w:r>
      <w:r>
        <w:t xml:space="preserve"> </w:t>
      </w:r>
      <w:r>
        <w:rPr>
          <w:b/>
          <w:bCs/>
        </w:rPr>
        <w:t xml:space="preserve">Refresh now</w:t>
      </w:r>
      <w:r>
        <w:t xml:space="preserve"> </w:t>
      </w:r>
      <w:r>
        <w:t xml:space="preserve">succeeds in the service.</w:t>
      </w:r>
    </w:p>
    <w:p>
      <w:pPr>
        <w:pStyle w:val="Compact"/>
        <w:numPr>
          <w:ilvl w:val="0"/>
          <w:numId w:val="1008"/>
        </w:numPr>
      </w:pPr>
      <w:r>
        <w:t xml:space="preserve">BigQuery's job history shows your queries under your identity (desktop) and the service account's identity (service refresh) — the audit story you will be asked about.</w:t>
      </w:r>
    </w:p>
    <w:bookmarkEnd w:id="17"/>
    <w:bookmarkStart w:id="18" w:name="what-this-replaces-in-your-current-stack"/>
    <w:p>
      <w:pPr>
        <w:pStyle w:val="Heading2"/>
      </w:pPr>
      <w:r>
        <w:t xml:space="preserve">What this replaces in your current stack</w:t>
      </w:r>
    </w:p>
    <w:p>
      <w:pPr>
        <w:pStyle w:val="Compact"/>
        <w:numPr>
          <w:ilvl w:val="0"/>
          <w:numId w:val="1009"/>
        </w:numPr>
      </w:pPr>
      <w:r>
        <w:t xml:space="preserve">The SSIS extract → reporting-copy tables that exist only so Power BI has something stable to read — Gold marts in BigQuery take that role.</w:t>
      </w:r>
    </w:p>
    <w:p>
      <w:pPr>
        <w:pStyle w:val="Compact"/>
        <w:numPr>
          <w:ilvl w:val="0"/>
          <w:numId w:val="1009"/>
        </w:numPr>
      </w:pPr>
      <w:r>
        <w:t xml:space="preserve">The ODBC DSN / SQL Server connection entries in every author's Power BI Desktop — replaced by the Google BigQuery connector and per-person OAuth.</w:t>
      </w:r>
    </w:p>
    <w:p>
      <w:pPr>
        <w:pStyle w:val="Compact"/>
        <w:numPr>
          <w:ilvl w:val="0"/>
          <w:numId w:val="1009"/>
        </w:numPr>
      </w:pPr>
      <w:r>
        <w:t xml:space="preserve">The shared SQL login embedded in published datasets — replaced by a least-privilege service account, with real people in the audit trail.</w:t>
      </w:r>
    </w:p>
    <w:bookmarkEnd w:id="18"/>
    <w:bookmarkStart w:id="19" w:name="the-closing-idea"/>
    <w:p>
      <w:pPr>
        <w:pStyle w:val="Heading2"/>
      </w:pPr>
      <w:r>
        <w:t xml:space="preserve">The closing idea</w:t>
      </w:r>
    </w:p>
    <w:p>
      <w:pPr>
        <w:pStyle w:val="BlockText"/>
      </w:pPr>
      <w:r>
        <w:t xml:space="preserve">Your Gold marts land in the Power BI you already have. Same report authors, same workspaces, same DAX, same consumers — the only thing that changes is the connection string. Nothing on the report side changes. That is the whole migration, end to end: kill the extracts, land in BigQuery, Bronze/Silver/Gold with Dataform, and the reports keep working.</w:t>
      </w:r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../day2/00_schedule.md</w:t>
      </w:r>
      <w:r>
        <w:rPr>
          <w:i/>
          <w:iCs/>
        </w:rP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learn.microsoft.com/en-us/power-query/connectors/google-bigque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learn.microsoft.com/en-us/power-query/connectors/google-bigque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2026-10-03T16:14:56Z</dcterms:created>
  <dcterms:modified xsi:type="dcterms:W3CDTF">2026-10-03T16:14:56Z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