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-sql--bigquery-sql--dialect-cheat-sheet"/>
    <w:p>
      <w:pPr>
        <w:pStyle w:val="Heading1"/>
      </w:pPr>
      <w:r>
        <w:t xml:space="preserve">T-SQL → BigQuery SQL — Dialect Cheat Sheet</w:t>
      </w:r>
    </w:p>
    <w:p>
      <w:pPr>
        <w:pStyle w:val="FirstParagraph"/>
      </w:pPr>
      <w:r>
        <w:t xml:space="preserve">BigQuery speaks</w:t>
      </w:r>
      <w:r>
        <w:t xml:space="preserve"> </w:t>
      </w:r>
      <w:r>
        <w:rPr>
          <w:b/>
          <w:bCs/>
        </w:rPr>
        <w:t xml:space="preserve">GoogleSQL</w:t>
      </w:r>
      <w:r>
        <w:t xml:space="preserve"> </w:t>
      </w:r>
      <w:r>
        <w:t xml:space="preserve">(standard SQL). Most of your T-SQL transfers directly; this card is the differences you'll actually hit, first used on Day 1 afternoon and hardest-needed in the Day-2 Iceberg lab. Every row below matches the BigQuery docs (links at the bottom).</w:t>
      </w:r>
    </w:p>
    <w:bookmarkStart w:id="9" w:name="the-everyday-rows"/>
    <w:p>
      <w:pPr>
        <w:pStyle w:val="Heading2"/>
      </w:pPr>
      <w:r>
        <w:t xml:space="preserve">The everyday rows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T-SQL</w:t>
            </w:r>
          </w:p>
        </w:tc>
        <w:tc>
          <w:tcPr/>
          <w:p>
            <w:pPr>
              <w:pStyle w:val="Compact"/>
            </w:pPr>
            <w:r>
              <w:t xml:space="preserve">BigQuery GoogleSQL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[Order ID]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`Order ID`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Backticks, not square brackets.</w:t>
            </w:r>
            <w:r>
              <w:t xml:space="preserve"> </w:t>
            </w:r>
            <w:r>
              <w:t xml:space="preserve">Quote the whole three-part name as one:</w:t>
            </w:r>
            <w:r>
              <w:t xml:space="preserve"> </w:t>
            </w:r>
            <w:r>
              <w:rPr>
                <w:rStyle w:val="VerbatimChar"/>
              </w:rPr>
              <w:t xml:space="preserve">`project.dataset.table`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TOP 100 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 * ... LIMIT 100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LIMIT</w:t>
            </w:r>
            <w:r>
              <w:rPr>
                <w:b/>
                <w:bCs/>
              </w:rPr>
              <w:t xml:space="preserve">, not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TOP</w:t>
            </w:r>
            <w:r>
              <w:t xml:space="preserve"> </w:t>
            </w:r>
            <w:r>
              <w:t xml:space="preserve">— and it goes at the end of the 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ISNULL(col, 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IFNULL(col, 0)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COALESCE(col, 0)</w:t>
            </w:r>
          </w:p>
        </w:tc>
        <w:tc>
          <w:tcPr/>
          <w:p>
            <w:pPr>
              <w:pStyle w:val="Compact"/>
            </w:pPr>
            <w:r>
              <w:t xml:space="preserve">Prefer</w:t>
            </w:r>
            <w:r>
              <w:t xml:space="preserve"> </w:t>
            </w:r>
            <w:r>
              <w:rPr>
                <w:rStyle w:val="VerbatimChar"/>
              </w:rPr>
              <w:t xml:space="preserve">COALESCE</w:t>
            </w:r>
            <w:r>
              <w:t xml:space="preserve"> </w:t>
            </w:r>
            <w:r>
              <w:t xml:space="preserve">(standard, takes multiple fallbacks)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CAST(x AS INT)</w:t>
            </w:r>
            <w:r>
              <w:t xml:space="preserve"> </w:t>
            </w:r>
            <w:r>
              <w:t xml:space="preserve">(errors on bad data)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SAFE_CAST(x AS INT64)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SAFE_CAST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instead of failing the query — put it in Silver-layer models that absorb vendor-file dirt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GETDATE()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CURRENT_TIMESTAMP()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(UTC). Also</w:t>
            </w:r>
            <w:r>
              <w:t xml:space="preserve"> </w:t>
            </w:r>
            <w:r>
              <w:rPr>
                <w:rStyle w:val="VerbatimChar"/>
              </w:rPr>
              <w:t xml:space="preserve">CURRENT_DATE()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CURRENT_DATETIME()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DATEADD(day, -7, 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DATE_SUB(d, INTERVAL 7 DAY)</w:t>
            </w:r>
          </w:p>
        </w:tc>
        <w:tc>
          <w:tcPr/>
          <w:p>
            <w:pPr>
              <w:pStyle w:val="Compact"/>
            </w:pPr>
            <w:r>
              <w:t xml:space="preserve">Add with</w:t>
            </w:r>
            <w:r>
              <w:t xml:space="preserve"> </w:t>
            </w:r>
            <w:r>
              <w:rPr>
                <w:rStyle w:val="VerbatimChar"/>
              </w:rPr>
              <w:t xml:space="preserve">DATE_ADD</w:t>
            </w:r>
            <w:r>
              <w:t xml:space="preserve">, subtract with</w:t>
            </w:r>
            <w:r>
              <w:t xml:space="preserve"> </w:t>
            </w:r>
            <w:r>
              <w:rPr>
                <w:rStyle w:val="VerbatimChar"/>
              </w:rPr>
              <w:t xml:space="preserve">DATE_SUB</w:t>
            </w:r>
            <w:r>
              <w:t xml:space="preserve">; also</w:t>
            </w:r>
            <w:r>
              <w:t xml:space="preserve"> </w:t>
            </w:r>
            <w:r>
              <w:rPr>
                <w:rStyle w:val="VerbatimChar"/>
              </w:rPr>
              <w:t xml:space="preserve">TIMESTAMP_ADD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DATETIME_ADD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TIMESTAMP_SUB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DATEDIFF(day, a, b)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DATE_DIFF(b, a, DAY)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Argument order flips</w:t>
            </w:r>
            <w:r>
              <w:t xml:space="preserve">: later date first. Also</w:t>
            </w:r>
            <w:r>
              <w:t xml:space="preserve"> </w:t>
            </w:r>
            <w:r>
              <w:rPr>
                <w:rStyle w:val="VerbatimChar"/>
              </w:rPr>
              <w:t xml:space="preserve">TIMESTAMP_DIFF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SUBSTRING(s, 1,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SUBSTR(s, 1, 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SUBSTRING</w:t>
            </w:r>
            <w:r>
              <w:t xml:space="preserve"> </w:t>
            </w:r>
            <w:r>
              <w:t xml:space="preserve">also works as an alias; positions are 1-based in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CHARINDEX('x', 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STRPOS(s, 'x')</w:t>
            </w:r>
          </w:p>
        </w:tc>
        <w:tc>
          <w:tcPr/>
          <w:p>
            <w:pPr>
              <w:pStyle w:val="Compact"/>
            </w:pPr>
            <w:r>
              <w:t xml:space="preserve">Haystack first, needle second — the argument order flips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s1 + 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CONCAT(s1, s2)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s1 || s2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CONCAT</w:t>
            </w:r>
            <w:r>
              <w:t xml:space="preserve"> </w:t>
            </w:r>
            <w:r>
              <w:t xml:space="preserve">treats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as empty string (no</w:t>
            </w:r>
            <w:r>
              <w:t xml:space="preserve"> </w:t>
            </w:r>
            <w:r>
              <w:rPr>
                <w:rStyle w:val="VerbatimChar"/>
              </w:rPr>
              <w:t xml:space="preserve">CONCAT_NULL_YIELDS_NULL</w:t>
            </w:r>
            <w:r>
              <w:t xml:space="preserve"> </w:t>
            </w:r>
            <w:r>
              <w:t xml:space="preserve">setting to remember)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/ 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/ 2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Division always returns a floating-point type. Integer division is</w:t>
            </w:r>
            <w:r>
              <w:t xml:space="preserve"> </w:t>
            </w:r>
            <w:r>
              <w:rPr>
                <w:rStyle w:val="VerbatimChar"/>
              </w:rPr>
              <w:t xml:space="preserve">DIV(5, 2)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divide by zero → error</w:t>
            </w:r>
          </w:p>
        </w:tc>
        <w:tc>
          <w:tcPr/>
          <w:p>
            <w:pPr>
              <w:pStyle w:val="Compact"/>
            </w:pPr>
            <w:r>
              <w:t xml:space="preserve">also an error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SAFE_DIVIDE(x, y)</w:t>
            </w:r>
            <w:r>
              <w:t xml:space="preserve"> </w:t>
            </w:r>
            <w:r>
              <w:t xml:space="preserve">to get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bigint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INT64</w:t>
            </w:r>
          </w:p>
        </w:tc>
        <w:tc>
          <w:tcPr/>
          <w:p>
            <w:pPr>
              <w:pStyle w:val="Compact"/>
            </w:pPr>
            <w:r>
              <w:t xml:space="preserve">One integer type.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  <w:r>
              <w:t xml:space="preserve"> </w:t>
            </w:r>
            <w:r>
              <w:t xml:space="preserve">≈</w:t>
            </w:r>
            <w:r>
              <w:t xml:space="preserve"> </w:t>
            </w:r>
            <w:r>
              <w:rPr>
                <w:rStyle w:val="VerbatimChar"/>
              </w:rPr>
              <w:t xml:space="preserve">TIMESTAMP</w:t>
            </w:r>
            <w:r>
              <w:t xml:space="preserve"> </w:t>
            </w:r>
            <w:r>
              <w:t xml:space="preserve">(UTC)</w:t>
            </w:r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DATETIME</w:t>
            </w:r>
            <w:r>
              <w:t xml:space="preserve"> </w:t>
            </w:r>
            <w:r>
              <w:t xml:space="preserve">(civil time, no zone) — pick deliberately per 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Stored procedures, batches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Scripting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DECLARE x INT64; SET x = ...;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rStyle w:val="VerbatimChar"/>
              </w:rPr>
              <w:t xml:space="preserve">IF ... END IF;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WHILE ... END WHILE;</w:t>
            </w:r>
          </w:p>
        </w:tc>
        <w:tc>
          <w:tcPr/>
          <w:p>
            <w:pPr>
              <w:pStyle w:val="Compact"/>
            </w:pPr>
            <w:r>
              <w:t xml:space="preserve">Multi-statement scripts run straight in the query editor — your "anonymous sproc" instinct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MERGE</w:t>
            </w:r>
          </w:p>
        </w:tc>
        <w:tc>
          <w:tcPr/>
          <w:p>
            <w:pPr>
              <w:pStyle w:val="Compact"/>
            </w:pPr>
            <w:r>
              <w:t xml:space="preserve">Exists, same purpose: upsert by match 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CTEs (</w:t>
            </w:r>
            <w:r>
              <w:rPr>
                <w:rStyle w:val="VerbatimChar"/>
              </w:rPr>
              <w:t xml:space="preserve">WITH</w:t>
            </w:r>
            <w:r>
              <w:t xml:space="preserve">), window functions (</w:t>
            </w:r>
            <w:r>
              <w:rPr>
                <w:rStyle w:val="VerbatimChar"/>
              </w:rPr>
              <w:t xml:space="preserve">ROW_NUMBER() OVER (PARTITION BY ...)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identical</w:t>
            </w:r>
          </w:p>
        </w:tc>
        <w:tc>
          <w:tcPr/>
          <w:p>
            <w:pPr>
              <w:pStyle w:val="Compact"/>
            </w:pPr>
            <w:r>
              <w:t xml:space="preserve">Work exactly as you expect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 mydb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USE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Always fully qualify:</w:t>
            </w:r>
            <w:r>
              <w:t xml:space="preserve"> </w:t>
            </w:r>
            <w:r>
              <w:rPr>
                <w:rStyle w:val="VerbatimChar"/>
              </w:rPr>
              <w:t xml:space="preserve">`project.dataset.table`</w:t>
            </w:r>
          </w:p>
        </w:tc>
      </w:tr>
    </w:tbl>
    <w:bookmarkEnd w:id="9"/>
    <w:bookmarkStart w:id="10" w:name="things-that-will-bite-you"/>
    <w:p>
      <w:pPr>
        <w:pStyle w:val="Heading2"/>
      </w:pPr>
      <w:r>
        <w:t xml:space="preserve">Things that will bite you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Case sensitivity.</w:t>
      </w:r>
      <w:r>
        <w:t xml:space="preserve"> </w:t>
      </w:r>
      <w:r>
        <w:t xml:space="preserve">String comparisons are case-sensitive (</w:t>
      </w:r>
      <w:r>
        <w:rPr>
          <w:rStyle w:val="VerbatimChar"/>
        </w:rPr>
        <w:t xml:space="preserve">'smith' ≠ 'Smith'</w:t>
      </w:r>
      <w:r>
        <w:t xml:space="preserve">), and dataset and table names are case-sensitive by default. If your SQL Server collation is the usual case-insensitive sort, this is the difference most likely to produce "the same" rows not joining.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IDs contain dashes — backtick the whole name.</w:t>
      </w:r>
      <w:r>
        <w:t xml:space="preserve"> </w:t>
      </w:r>
      <w:r>
        <w:t xml:space="preserve">Lab projects have IDs like</w:t>
      </w:r>
      <w:r>
        <w:t xml:space="preserve"> </w:t>
      </w:r>
      <w:r>
        <w:rPr>
          <w:rStyle w:val="VerbatimChar"/>
        </w:rPr>
        <w:t xml:space="preserve">qwiklabs-gcp-01-ab12cd34ef56</w:t>
      </w:r>
      <w:r>
        <w:t xml:space="preserve">.</w:t>
      </w:r>
      <w:r>
        <w:t xml:space="preserve"> </w:t>
      </w:r>
      <w:r>
        <w:rPr>
          <w:rStyle w:val="VerbatimChar"/>
        </w:rPr>
        <w:t xml:space="preserve">`qwiklabs-gcp-01-ab12cd34ef56.class.orders`</w:t>
      </w:r>
      <w:r>
        <w:t xml:space="preserve"> </w:t>
      </w:r>
      <w:r>
        <w:t xml:space="preserve">works; unquoted or partially quoted versions fail.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Integer math doesn't truncate, and zero divides loudly.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returns a float; divide-by-zero errors out the whole query. Reach for</w:t>
      </w:r>
      <w:r>
        <w:t xml:space="preserve"> </w:t>
      </w:r>
      <w:r>
        <w:rPr>
          <w:rStyle w:val="VerbatimChar"/>
        </w:rPr>
        <w:t xml:space="preserve">DIV()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SAFE_DIVIDE()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Nested/repeated columns need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UNNEST</w:t>
      </w:r>
      <w:r>
        <w:rPr>
          <w:b/>
          <w:bCs/>
        </w:rPr>
        <w:t xml:space="preserve">.</w:t>
      </w:r>
      <w:r>
        <w:t xml:space="preserve"> </w:t>
      </w:r>
      <w:r>
        <w:t xml:space="preserve">BigQuery tables can hold</w:t>
      </w:r>
      <w:r>
        <w:t xml:space="preserve"> </w:t>
      </w:r>
      <w:r>
        <w:rPr>
          <w:rStyle w:val="VerbatimChar"/>
        </w:rPr>
        <w:t xml:space="preserve">ARRAY&lt;STRUCT&lt;...&gt;&gt;</w:t>
      </w:r>
      <w:r>
        <w:t xml:space="preserve"> </w:t>
      </w:r>
      <w:r>
        <w:t xml:space="preserve">columns (an order with its line items inside the row). You can't treat them like a child table until you flatten:</w:t>
      </w:r>
      <w:r>
        <w:t xml:space="preserve"> </w:t>
      </w:r>
      <w:r>
        <w:rPr>
          <w:rStyle w:val="VerbatimChar"/>
        </w:rPr>
        <w:t xml:space="preserve">FROM orders, UNNEST(line_items) AS li</w:t>
      </w:r>
      <w:r>
        <w:t xml:space="preserve">. You'll meet this in the derived-tables activity (DIN §29).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TIMESTAMP</w:t>
      </w:r>
      <w:r>
        <w:rPr>
          <w:b/>
          <w:bCs/>
        </w:rPr>
        <w:t xml:space="preserve"> </w:t>
      </w:r>
      <w:r>
        <w:rPr>
          <w:b/>
          <w:bCs/>
        </w:rPr>
        <w:t xml:space="preserve">≠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DATETIME</w:t>
      </w:r>
      <w:r>
        <w:rPr>
          <w:b/>
          <w:bCs/>
        </w:rPr>
        <w:t xml:space="preserve">.</w:t>
      </w:r>
      <w:r>
        <w:t xml:space="preserve"> </w:t>
      </w:r>
      <w:r>
        <w:t xml:space="preserve">Comparing or joining the two types errors instead of implicitly converting. Decide per column: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for event instants,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for "wall-clock" values like a business date.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External-table DDL is metadata-only and returns instantly.</w:t>
      </w:r>
      <w:r>
        <w:t xml:space="preserve"> </w:t>
      </w:r>
      <w:r>
        <w:t xml:space="preserve">If a</w:t>
      </w:r>
      <w:r>
        <w:t xml:space="preserve"> </w:t>
      </w:r>
      <w:r>
        <w:rPr>
          <w:rStyle w:val="VerbatimChar"/>
        </w:rPr>
        <w:t xml:space="preserve">CREATE EXTERNAL TABLE</w:t>
      </w:r>
      <w:r>
        <w:t xml:space="preserve"> </w:t>
      </w:r>
      <w:r>
        <w:t xml:space="preserve">seems to hang, the statement is wrong (usually the URI) — it's not "reading the files."</w:t>
      </w:r>
    </w:p>
    <w:bookmarkEnd w:id="10"/>
    <w:bookmarkStart w:id="11" w:name="pleasant-surprises"/>
    <w:p>
      <w:pPr>
        <w:pStyle w:val="Heading2"/>
      </w:pPr>
      <w:r>
        <w:t xml:space="preserve">Pleasant surprises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 * EXCEPT (cust_email, cust_phone)</w:t>
      </w:r>
      <w:r>
        <w:t xml:space="preserve"> </w:t>
      </w:r>
      <w:r>
        <w:t xml:space="preserve">— project everything</w:t>
      </w:r>
      <w:r>
        <w:t xml:space="preserve"> </w:t>
      </w:r>
      <w:r>
        <w:rPr>
          <w:i/>
          <w:iCs/>
        </w:rPr>
        <w:t xml:space="preserve">but</w:t>
      </w:r>
      <w:r>
        <w:t xml:space="preserve"> </w:t>
      </w:r>
      <w:r>
        <w:t xml:space="preserve">the PII, no column list.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SELECT * REPLACE (SAFE_CAST(minutes AS INT64) AS minutes)</w:t>
      </w:r>
      <w:r>
        <w:t xml:space="preserve"> </w:t>
      </w:r>
      <w:r>
        <w:t xml:space="preserve">— re-type a column inline.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QUALIFY</w:t>
      </w:r>
      <w:r>
        <w:t xml:space="preserve"> </w:t>
      </w:r>
      <w:r>
        <w:t xml:space="preserve">— filter on a window function without a subquery:</w:t>
      </w:r>
      <w:r>
        <w:t xml:space="preserve"> </w:t>
      </w:r>
      <w:r>
        <w:rPr>
          <w:rStyle w:val="VerbatimChar"/>
        </w:rPr>
        <w:t xml:space="preserve">... QUALIFY ROW_NUMBER() OVER (PARTITION BY case_id ORDER BY updated_at DESC) = 1</w:t>
      </w:r>
      <w:r>
        <w:t xml:space="preserve"> </w:t>
      </w:r>
      <w:r>
        <w:t xml:space="preserve">— your "latest record per key" pattern in one line.</w:t>
      </w:r>
    </w:p>
    <w:bookmarkEnd w:id="11"/>
    <w:bookmarkStart w:id="21" w:name="dig-deeper"/>
    <w:p>
      <w:pPr>
        <w:pStyle w:val="Heading2"/>
      </w:pPr>
      <w:r>
        <w:t xml:space="preserve">Dig deeper</w:t>
      </w:r>
    </w:p>
    <w:p>
      <w:pPr>
        <w:pStyle w:val="Compact"/>
        <w:numPr>
          <w:ilvl w:val="0"/>
          <w:numId w:val="1003"/>
        </w:numPr>
      </w:pPr>
      <w:hyperlink r:id="rId12">
        <w:r>
          <w:rPr>
            <w:rStyle w:val="Hyperlink"/>
          </w:rPr>
          <w:t xml:space="preserve">Query syntax (identifiers,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LIMIT</w:t>
        </w:r>
        <w:r>
          <w:rPr>
            <w:rStyle w:val="Hyperlink"/>
          </w:rPr>
          <w:t xml:space="preserve">, CTEs,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UNNEST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QUALIFY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3"/>
        </w:numPr>
      </w:pPr>
      <w:hyperlink r:id="rId13">
        <w:r>
          <w:rPr>
            <w:rStyle w:val="Hyperlink"/>
          </w:rPr>
          <w:t xml:space="preserve">Conditional expressions (</w:t>
        </w:r>
        <w:r>
          <w:rPr>
            <w:rStyle w:val="VerbatimChar"/>
          </w:rPr>
          <w:t xml:space="preserve">IFNULL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COALESCE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3"/>
        </w:numPr>
      </w:pPr>
      <w:hyperlink r:id="rId14">
        <w:r>
          <w:rPr>
            <w:rStyle w:val="Hyperlink"/>
          </w:rPr>
          <w:t xml:space="preserve">Conversion functions (</w:t>
        </w:r>
        <w:r>
          <w:rPr>
            <w:rStyle w:val="VerbatimChar"/>
          </w:rPr>
          <w:t xml:space="preserve">SAFE_CAST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Date functions</w:t>
        </w:r>
      </w:hyperlink>
      <w:r>
        <w:t xml:space="preserve"> </w:t>
      </w:r>
      <w:r>
        <w:t xml:space="preserve">·</w:t>
      </w:r>
      <w:r>
        <w:t xml:space="preserve"> </w:t>
      </w:r>
      <w:hyperlink r:id="rId16">
        <w:r>
          <w:rPr>
            <w:rStyle w:val="Hyperlink"/>
          </w:rPr>
          <w:t xml:space="preserve">Timestamp functions</w:t>
        </w:r>
      </w:hyperlink>
      <w:r>
        <w:t xml:space="preserve"> </w:t>
      </w:r>
      <w:r>
        <w:t xml:space="preserve">·</w:t>
      </w:r>
      <w:r>
        <w:t xml:space="preserve"> </w:t>
      </w:r>
      <w:hyperlink r:id="rId17">
        <w:r>
          <w:rPr>
            <w:rStyle w:val="Hyperlink"/>
          </w:rPr>
          <w:t xml:space="preserve">String functions</w:t>
        </w:r>
      </w:hyperlink>
      <w:r>
        <w:t xml:space="preserve"> </w:t>
      </w:r>
      <w:r>
        <w:t xml:space="preserve">·</w:t>
      </w:r>
      <w:r>
        <w:t xml:space="preserve"> </w:t>
      </w:r>
      <w:hyperlink r:id="rId18">
        <w:r>
          <w:rPr>
            <w:rStyle w:val="Hyperlink"/>
          </w:rPr>
          <w:t xml:space="preserve">Operators (</w:t>
        </w:r>
        <w:r>
          <w:rPr>
            <w:rStyle w:val="VerbatimChar"/>
          </w:rPr>
          <w:t xml:space="preserve">DIV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SAFE_DIVIDE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Scripting (</w:t>
        </w:r>
        <w:r>
          <w:rPr>
            <w:rStyle w:val="VerbatimChar"/>
          </w:rPr>
          <w:t xml:space="preserve">DECLARE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SET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IF</w:t>
        </w:r>
        <w:r>
          <w:rPr>
            <w:rStyle w:val="Hyperlink"/>
          </w:rPr>
          <w:t xml:space="preserve">,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WHILE</w:t>
        </w:r>
        <w:r>
          <w:rPr>
            <w:rStyle w:val="Hyperlink"/>
          </w:rPr>
          <w:t xml:space="preserve">)</w:t>
        </w:r>
      </w:hyperlink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DML (</w:t>
        </w:r>
        <w:r>
          <w:rPr>
            <w:rStyle w:val="VerbatimChar"/>
          </w:rPr>
          <w:t xml:space="preserve">MERGE</w:t>
        </w:r>
        <w:r>
          <w:rPr>
            <w:rStyle w:val="Hyperlink"/>
          </w:rPr>
          <w:t xml:space="preserve">)</w:t>
        </w:r>
      </w:hyperlink>
    </w:p>
    <w:p>
      <w:pPr>
        <w:pStyle w:val="FirstParagraph"/>
      </w:pPr>
      <w:r>
        <w:rPr>
          <w:i/>
          <w:iCs/>
        </w:rPr>
        <w:t xml:space="preserve">Part of the Iowa DOM DoIT Data Engineering student pack — 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../README.md</w:t>
      </w:r>
      <w:r>
        <w:rPr>
          <w:i/>
          <w:iCs/>
        </w:rPr>
        <w:t xml:space="preserve">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cloud.google.com/bigquery/docs/reference/standard-sql/conditional_expressions" TargetMode="External" /><Relationship Type="http://schemas.openxmlformats.org/officeDocument/2006/relationships/hyperlink" Id="rId14" Target="https://cloud.google.com/bigquery/docs/reference/standard-sql/conversion_functions" TargetMode="External" /><Relationship Type="http://schemas.openxmlformats.org/officeDocument/2006/relationships/hyperlink" Id="rId15" Target="https://cloud.google.com/bigquery/docs/reference/standard-sql/date_functions" TargetMode="External" /><Relationship Type="http://schemas.openxmlformats.org/officeDocument/2006/relationships/hyperlink" Id="rId20" Target="https://cloud.google.com/bigquery/docs/reference/standard-sql/dml-syntax" TargetMode="External" /><Relationship Type="http://schemas.openxmlformats.org/officeDocument/2006/relationships/hyperlink" Id="rId18" Target="https://cloud.google.com/bigquery/docs/reference/standard-sql/operators" TargetMode="External" /><Relationship Type="http://schemas.openxmlformats.org/officeDocument/2006/relationships/hyperlink" Id="rId12" Target="https://cloud.google.com/bigquery/docs/reference/standard-sql/query-syntax" TargetMode="External" /><Relationship Type="http://schemas.openxmlformats.org/officeDocument/2006/relationships/hyperlink" Id="rId19" Target="https://cloud.google.com/bigquery/docs/reference/standard-sql/scripting" TargetMode="External" /><Relationship Type="http://schemas.openxmlformats.org/officeDocument/2006/relationships/hyperlink" Id="rId17" Target="https://cloud.google.com/bigquery/docs/reference/standard-sql/string_functions" TargetMode="External" /><Relationship Type="http://schemas.openxmlformats.org/officeDocument/2006/relationships/hyperlink" Id="rId16" Target="https://cloud.google.com/bigquery/docs/reference/standard-sql/timestamp_func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cloud.google.com/bigquery/docs/reference/standard-sql/conditional_expressions" TargetMode="External" /><Relationship Type="http://schemas.openxmlformats.org/officeDocument/2006/relationships/hyperlink" Id="rId14" Target="https://cloud.google.com/bigquery/docs/reference/standard-sql/conversion_functions" TargetMode="External" /><Relationship Type="http://schemas.openxmlformats.org/officeDocument/2006/relationships/hyperlink" Id="rId15" Target="https://cloud.google.com/bigquery/docs/reference/standard-sql/date_functions" TargetMode="External" /><Relationship Type="http://schemas.openxmlformats.org/officeDocument/2006/relationships/hyperlink" Id="rId20" Target="https://cloud.google.com/bigquery/docs/reference/standard-sql/dml-syntax" TargetMode="External" /><Relationship Type="http://schemas.openxmlformats.org/officeDocument/2006/relationships/hyperlink" Id="rId18" Target="https://cloud.google.com/bigquery/docs/reference/standard-sql/operators" TargetMode="External" /><Relationship Type="http://schemas.openxmlformats.org/officeDocument/2006/relationships/hyperlink" Id="rId12" Target="https://cloud.google.com/bigquery/docs/reference/standard-sql/query-syntax" TargetMode="External" /><Relationship Type="http://schemas.openxmlformats.org/officeDocument/2006/relationships/hyperlink" Id="rId19" Target="https://cloud.google.com/bigquery/docs/reference/standard-sql/scripting" TargetMode="External" /><Relationship Type="http://schemas.openxmlformats.org/officeDocument/2006/relationships/hyperlink" Id="rId17" Target="https://cloud.google.com/bigquery/docs/reference/standard-sql/string_functions" TargetMode="External" /><Relationship Type="http://schemas.openxmlformats.org/officeDocument/2006/relationships/hyperlink" Id="rId16" Target="https://cloud.google.com/bigquery/docs/reference/standard-sql/timestamp_func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2026-10-03T16:14:56Z</dcterms:created>
  <dcterms:modified xsi:type="dcterms:W3CDTF">2026-10-03T16:14:56Z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