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Georgia" w:cs="Georgia" w:eastAsia="Georgia" w:hAnsi="Georgia"/>
          <w:b/>
          <w:bCs/>
          <w:color w:val="1F3A5F"/>
          <w:sz w:val="40"/>
          <w:szCs w:val="40"/>
        </w:rPr>
        <w:t xml:space="preserve">Company Travel Policy FAQ</w:t>
      </w:r>
    </w:p>
    <w:p>
      <w:pPr>
        <w:pBdr>
          <w:bottom w:val="single" w:color="1F3A5F" w:sz="6" w:space="8"/>
        </w:pBdr>
        <w:spacing w:after="300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Contoso HR Knowledge Base — Sample content for learning purposes</w:t>
      </w:r>
    </w:p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F3A5F"/>
          <w:sz w:val="28"/>
          <w:szCs w:val="28"/>
        </w:rPr>
        <w:t xml:space="preserve">Travel Booking</w:t>
      </w:r>
    </w:p>
    <w:p>
      <w:pPr>
        <w:pStyle w:val="Heading2"/>
        <w:spacing w:after="60" w:before="120"/>
      </w:pPr>
      <w:r>
        <w:rPr>
          <w:rFonts w:ascii="Georgia" w:cs="Georgia" w:eastAsia="Georgia" w:hAnsi="Georgia"/>
          <w:b/>
          <w:bCs/>
          <w:color w:val="000000"/>
          <w:sz w:val="24"/>
          <w:szCs w:val="24"/>
        </w:rPr>
        <w:t xml:space="preserve">What is our company travel policy?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Contoso employees book all business travel through the approved travel portal. Flights should be economy class for trips under six hours. Hotel stays are reimbursed up to the per-city limit published in the travel portal. All travel over a set threshold requires manager approval before booking.</w:t>
      </w:r>
    </w:p>
    <w:p>
      <w:pPr>
        <w:pStyle w:val="Heading2"/>
        <w:spacing w:after="60" w:before="120"/>
      </w:pPr>
      <w:r>
        <w:rPr>
          <w:rFonts w:ascii="Georgia" w:cs="Georgia" w:eastAsia="Georgia" w:hAnsi="Georgia"/>
          <w:b/>
          <w:bCs/>
          <w:color w:val="000000"/>
          <w:sz w:val="24"/>
          <w:szCs w:val="24"/>
        </w:rPr>
        <w:t xml:space="preserve">How do I book business travel?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Use the Contoso travel portal at travel.contoso.com. Select your dates and destination, choose options within policy, and submit for approval if required.</w:t>
      </w:r>
    </w:p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F3A5F"/>
          <w:sz w:val="28"/>
          <w:szCs w:val="28"/>
        </w:rPr>
        <w:t xml:space="preserve">Expenses</w:t>
      </w:r>
    </w:p>
    <w:p>
      <w:pPr>
        <w:pStyle w:val="Heading2"/>
        <w:spacing w:after="60" w:before="120"/>
      </w:pPr>
      <w:r>
        <w:rPr>
          <w:rFonts w:ascii="Georgia" w:cs="Georgia" w:eastAsia="Georgia" w:hAnsi="Georgia"/>
          <w:b/>
          <w:bCs/>
          <w:color w:val="000000"/>
          <w:sz w:val="24"/>
          <w:szCs w:val="24"/>
        </w:rPr>
        <w:t xml:space="preserve">How do I claim travel expenses?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Submit receipts through the expense system within 30 days of your trip. Meals are reimbursed up to the daily per-diem for your destination. Keep all itemized receipts.</w:t>
      </w:r>
    </w:p>
    <w:p>
      <w:pPr>
        <w:pStyle w:val="Heading2"/>
        <w:spacing w:after="60" w:before="120"/>
      </w:pPr>
      <w:r>
        <w:rPr>
          <w:rFonts w:ascii="Georgia" w:cs="Georgia" w:eastAsia="Georgia" w:hAnsi="Georgia"/>
          <w:b/>
          <w:bCs/>
          <w:color w:val="000000"/>
          <w:sz w:val="24"/>
          <w:szCs w:val="24"/>
        </w:rPr>
        <w:t xml:space="preserve">What is the meal per-diem?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The per-diem varies by city and is published in the travel portal. Domestic travel is typically covered at a standard daily rate; international rates vary by location.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666666"/>
        <w:sz w:val="16"/>
        <w:szCs w:val="16"/>
      </w:rPr>
      <w:t xml:space="preserve">Sample content for learning purposes — not real company policy. Page </w:t>
    </w:r>
    <w:r>
      <w:rPr>
        <w:rFonts w:ascii="Georgia" w:cs="Georgia" w:eastAsia="Georgia" w:hAnsi="Georgia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666666"/>
        <w:sz w:val="16"/>
        <w:szCs w:val="16"/>
      </w:rPr>
      <w:t xml:space="preserve">Contoso IT — SAMPLE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Travel Policy FAQ</dc:title>
  <dc:creator>Cloud Architecture Studio — Sample Knowledge Pack</dc:creator>
  <cp:lastModifiedBy>Un-named</cp:lastModifiedBy>
  <cp:revision>1</cp:revision>
  <dcterms:created xsi:type="dcterms:W3CDTF">2026-07-08T04:36:06.987Z</dcterms:created>
  <dcterms:modified xsi:type="dcterms:W3CDTF">2026-07-08T04:36:06.987Z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