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4790F" w:rsidP="0044790F">
      <w:pPr>
        <w:jc w:val="center"/>
        <w:rPr>
          <w:rFonts w:ascii="Times New Roman" w:hAnsi="Times New Roman" w:cs="Times New Roman"/>
          <w:sz w:val="36"/>
        </w:rPr>
      </w:pPr>
      <w:r w:rsidRPr="0044790F">
        <w:rPr>
          <w:rFonts w:ascii="Times New Roman" w:hAnsi="Times New Roman" w:cs="Times New Roman"/>
          <w:sz w:val="36"/>
        </w:rPr>
        <w:t>LINUX OS FILE SYSTEM</w:t>
      </w:r>
    </w:p>
    <w:p w:rsidR="006044B8" w:rsidRPr="006044B8" w:rsidRDefault="006044B8" w:rsidP="00643E1A">
      <w:pPr>
        <w:pStyle w:val="NormalWeb"/>
        <w:spacing w:before="0" w:beforeAutospacing="0" w:after="360" w:afterAutospacing="0"/>
        <w:jc w:val="both"/>
        <w:rPr>
          <w:sz w:val="32"/>
          <w:szCs w:val="32"/>
        </w:rPr>
      </w:pPr>
      <w:r w:rsidRPr="006044B8">
        <w:rPr>
          <w:sz w:val="32"/>
          <w:szCs w:val="32"/>
          <w:shd w:val="clear" w:color="auto" w:fill="FFFFFF"/>
        </w:rPr>
        <w:t>A Linux file system is </w:t>
      </w:r>
      <w:r w:rsidRPr="006044B8">
        <w:rPr>
          <w:rStyle w:val="Emphasis"/>
          <w:bCs/>
          <w:i w:val="0"/>
          <w:iCs w:val="0"/>
          <w:sz w:val="32"/>
          <w:szCs w:val="32"/>
          <w:shd w:val="clear" w:color="auto" w:fill="FFFFFF"/>
        </w:rPr>
        <w:t>a structured collection of files on a disk drive or a partition</w:t>
      </w:r>
      <w:r w:rsidRPr="006044B8">
        <w:rPr>
          <w:sz w:val="32"/>
          <w:szCs w:val="32"/>
          <w:shd w:val="clear" w:color="auto" w:fill="FFFFFF"/>
        </w:rPr>
        <w:t>. A partition is a segment of memory and contains some specific data.</w:t>
      </w:r>
    </w:p>
    <w:p w:rsidR="00643E1A" w:rsidRPr="00643E1A" w:rsidRDefault="00643E1A" w:rsidP="00643E1A">
      <w:pPr>
        <w:pStyle w:val="NormalWeb"/>
        <w:spacing w:before="0" w:beforeAutospacing="0" w:after="360" w:afterAutospacing="0"/>
        <w:jc w:val="both"/>
        <w:rPr>
          <w:color w:val="000000"/>
          <w:sz w:val="28"/>
          <w:szCs w:val="28"/>
        </w:rPr>
      </w:pPr>
      <w:r w:rsidRPr="00643E1A">
        <w:rPr>
          <w:color w:val="000000"/>
          <w:sz w:val="28"/>
          <w:szCs w:val="28"/>
        </w:rPr>
        <w:t xml:space="preserve">The Linux OS </w:t>
      </w:r>
      <w:r w:rsidR="002C57BD" w:rsidRPr="00643E1A">
        <w:rPr>
          <w:color w:val="000000"/>
          <w:sz w:val="28"/>
          <w:szCs w:val="28"/>
        </w:rPr>
        <w:t>file system</w:t>
      </w:r>
      <w:r w:rsidRPr="00643E1A">
        <w:rPr>
          <w:color w:val="000000"/>
          <w:sz w:val="28"/>
          <w:szCs w:val="28"/>
        </w:rPr>
        <w:t xml:space="preserve"> can be explored in greater detail in the following sections of this article.</w:t>
      </w:r>
    </w:p>
    <w:p w:rsidR="00643E1A" w:rsidRPr="00643E1A" w:rsidRDefault="00643E1A" w:rsidP="00643E1A">
      <w:pPr>
        <w:numPr>
          <w:ilvl w:val="0"/>
          <w:numId w:val="1"/>
        </w:numPr>
        <w:spacing w:before="100" w:beforeAutospacing="1" w:after="100" w:afterAutospacing="1" w:line="240" w:lineRule="auto"/>
        <w:ind w:left="0"/>
        <w:jc w:val="both"/>
        <w:rPr>
          <w:rFonts w:ascii="Times New Roman" w:eastAsia="Times New Roman" w:hAnsi="Times New Roman" w:cs="Times New Roman"/>
          <w:color w:val="000000"/>
          <w:sz w:val="28"/>
          <w:szCs w:val="28"/>
        </w:rPr>
      </w:pPr>
      <w:r w:rsidRPr="00643E1A">
        <w:rPr>
          <w:rFonts w:ascii="Times New Roman" w:eastAsia="Times New Roman" w:hAnsi="Times New Roman" w:cs="Times New Roman"/>
          <w:color w:val="000000"/>
          <w:sz w:val="28"/>
          <w:szCs w:val="28"/>
        </w:rPr>
        <w:t>The entire Linux directory structure starting at the top (/) root directory.</w:t>
      </w:r>
    </w:p>
    <w:p w:rsidR="00643E1A" w:rsidRPr="00643E1A" w:rsidRDefault="00643E1A" w:rsidP="00643E1A">
      <w:pPr>
        <w:numPr>
          <w:ilvl w:val="0"/>
          <w:numId w:val="1"/>
        </w:numPr>
        <w:spacing w:before="100" w:beforeAutospacing="1" w:after="100" w:afterAutospacing="1" w:line="240" w:lineRule="auto"/>
        <w:ind w:left="0"/>
        <w:jc w:val="both"/>
        <w:rPr>
          <w:rFonts w:ascii="Times New Roman" w:eastAsia="Times New Roman" w:hAnsi="Times New Roman" w:cs="Times New Roman"/>
          <w:color w:val="000000"/>
          <w:sz w:val="28"/>
          <w:szCs w:val="28"/>
        </w:rPr>
      </w:pPr>
      <w:r w:rsidRPr="00643E1A">
        <w:rPr>
          <w:rFonts w:ascii="Times New Roman" w:eastAsia="Times New Roman" w:hAnsi="Times New Roman" w:cs="Times New Roman"/>
          <w:color w:val="000000"/>
          <w:sz w:val="28"/>
          <w:szCs w:val="28"/>
        </w:rPr>
        <w:t xml:space="preserve">A specific type of data storage format, such as EXT3, EXT4, BTRFS, XFS, and so on. Linux supports almost 100 types of </w:t>
      </w:r>
      <w:r w:rsidR="002C57BD" w:rsidRPr="00643E1A">
        <w:rPr>
          <w:rFonts w:ascii="Times New Roman" w:eastAsia="Times New Roman" w:hAnsi="Times New Roman" w:cs="Times New Roman"/>
          <w:color w:val="000000"/>
          <w:sz w:val="28"/>
          <w:szCs w:val="28"/>
        </w:rPr>
        <w:t>file systems</w:t>
      </w:r>
      <w:r w:rsidRPr="00643E1A">
        <w:rPr>
          <w:rFonts w:ascii="Times New Roman" w:eastAsia="Times New Roman" w:hAnsi="Times New Roman" w:cs="Times New Roman"/>
          <w:color w:val="000000"/>
          <w:sz w:val="28"/>
          <w:szCs w:val="28"/>
        </w:rPr>
        <w:t xml:space="preserve">, including some very old ones as well as some of the newest. Each of these </w:t>
      </w:r>
      <w:r w:rsidR="002C57BD" w:rsidRPr="00643E1A">
        <w:rPr>
          <w:rFonts w:ascii="Times New Roman" w:eastAsia="Times New Roman" w:hAnsi="Times New Roman" w:cs="Times New Roman"/>
          <w:color w:val="000000"/>
          <w:sz w:val="28"/>
          <w:szCs w:val="28"/>
        </w:rPr>
        <w:t>file system</w:t>
      </w:r>
      <w:r w:rsidRPr="00643E1A">
        <w:rPr>
          <w:rFonts w:ascii="Times New Roman" w:eastAsia="Times New Roman" w:hAnsi="Times New Roman" w:cs="Times New Roman"/>
          <w:color w:val="000000"/>
          <w:sz w:val="28"/>
          <w:szCs w:val="28"/>
        </w:rPr>
        <w:t xml:space="preserve"> types uses its own metadata structures to define how the data is stored and accessed.</w:t>
      </w:r>
    </w:p>
    <w:p w:rsidR="00643E1A" w:rsidRPr="00643E1A" w:rsidRDefault="00643E1A" w:rsidP="00643E1A">
      <w:pPr>
        <w:numPr>
          <w:ilvl w:val="0"/>
          <w:numId w:val="1"/>
        </w:numPr>
        <w:spacing w:before="100" w:beforeAutospacing="1" w:after="100" w:afterAutospacing="1" w:line="240" w:lineRule="auto"/>
        <w:ind w:left="0"/>
        <w:jc w:val="both"/>
        <w:rPr>
          <w:rFonts w:ascii="Times New Roman" w:eastAsia="Times New Roman" w:hAnsi="Times New Roman" w:cs="Times New Roman"/>
          <w:color w:val="000000"/>
          <w:sz w:val="28"/>
          <w:szCs w:val="28"/>
        </w:rPr>
      </w:pPr>
      <w:r w:rsidRPr="00643E1A">
        <w:rPr>
          <w:rFonts w:ascii="Times New Roman" w:eastAsia="Times New Roman" w:hAnsi="Times New Roman" w:cs="Times New Roman"/>
          <w:color w:val="000000"/>
          <w:sz w:val="28"/>
          <w:szCs w:val="28"/>
        </w:rPr>
        <w:t xml:space="preserve">A partition or logical volume formatted with a specific type of </w:t>
      </w:r>
      <w:r w:rsidR="002C57BD" w:rsidRPr="00643E1A">
        <w:rPr>
          <w:rFonts w:ascii="Times New Roman" w:eastAsia="Times New Roman" w:hAnsi="Times New Roman" w:cs="Times New Roman"/>
          <w:color w:val="000000"/>
          <w:sz w:val="28"/>
          <w:szCs w:val="28"/>
        </w:rPr>
        <w:t>file system</w:t>
      </w:r>
      <w:r w:rsidRPr="00643E1A">
        <w:rPr>
          <w:rFonts w:ascii="Times New Roman" w:eastAsia="Times New Roman" w:hAnsi="Times New Roman" w:cs="Times New Roman"/>
          <w:color w:val="000000"/>
          <w:sz w:val="28"/>
          <w:szCs w:val="28"/>
        </w:rPr>
        <w:t xml:space="preserve"> that can be mounted on a specified mount point on a Linux </w:t>
      </w:r>
      <w:r w:rsidR="002C57BD">
        <w:rPr>
          <w:rFonts w:ascii="Times New Roman" w:eastAsia="Times New Roman" w:hAnsi="Times New Roman" w:cs="Times New Roman"/>
          <w:color w:val="000000"/>
          <w:sz w:val="28"/>
          <w:szCs w:val="28"/>
        </w:rPr>
        <w:t>file system</w:t>
      </w:r>
      <w:r w:rsidRPr="00643E1A">
        <w:rPr>
          <w:rFonts w:ascii="Times New Roman" w:eastAsia="Times New Roman" w:hAnsi="Times New Roman" w:cs="Times New Roman"/>
          <w:color w:val="000000"/>
          <w:sz w:val="28"/>
          <w:szCs w:val="28"/>
        </w:rPr>
        <w:t>.</w:t>
      </w:r>
    </w:p>
    <w:p w:rsidR="00FD595D" w:rsidRDefault="00FD595D" w:rsidP="0044790F">
      <w:pPr>
        <w:spacing w:after="360" w:line="240" w:lineRule="auto"/>
        <w:rPr>
          <w:rFonts w:ascii="Times New Roman" w:eastAsia="Times New Roman" w:hAnsi="Times New Roman" w:cs="Times New Roman"/>
          <w:b/>
          <w:color w:val="000000"/>
          <w:sz w:val="28"/>
          <w:u w:val="single"/>
        </w:rPr>
      </w:pPr>
    </w:p>
    <w:p w:rsidR="0044790F" w:rsidRPr="0044790F" w:rsidRDefault="0044790F" w:rsidP="0044790F">
      <w:pPr>
        <w:spacing w:after="360" w:line="240" w:lineRule="auto"/>
        <w:rPr>
          <w:rFonts w:ascii="Times New Roman" w:eastAsia="Times New Roman" w:hAnsi="Times New Roman" w:cs="Times New Roman"/>
          <w:b/>
          <w:color w:val="000000"/>
          <w:sz w:val="28"/>
          <w:u w:val="single"/>
        </w:rPr>
      </w:pPr>
      <w:proofErr w:type="gramStart"/>
      <w:r w:rsidRPr="0044790F">
        <w:rPr>
          <w:rFonts w:ascii="Times New Roman" w:eastAsia="Times New Roman" w:hAnsi="Times New Roman" w:cs="Times New Roman"/>
          <w:b/>
          <w:color w:val="000000"/>
          <w:sz w:val="28"/>
          <w:u w:val="single"/>
        </w:rPr>
        <w:t>Top-level Linux directories and their purposes.</w:t>
      </w:r>
      <w:proofErr w:type="gramEnd"/>
    </w:p>
    <w:tbl>
      <w:tblPr>
        <w:tblW w:w="1044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2175"/>
        <w:gridCol w:w="8265"/>
      </w:tblGrid>
      <w:tr w:rsidR="0044790F" w:rsidRPr="0044790F" w:rsidTr="0044790F">
        <w:trPr>
          <w:tblHeader/>
        </w:trPr>
        <w:tc>
          <w:tcPr>
            <w:tcW w:w="1980"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jc w:val="center"/>
              <w:rPr>
                <w:rFonts w:ascii="Arial" w:eastAsia="Times New Roman" w:hAnsi="Arial" w:cs="Arial"/>
                <w:b/>
                <w:bCs/>
                <w:color w:val="000000"/>
              </w:rPr>
            </w:pPr>
            <w:r w:rsidRPr="0044790F">
              <w:rPr>
                <w:rFonts w:ascii="Arial" w:eastAsia="Times New Roman" w:hAnsi="Arial" w:cs="Arial"/>
                <w:b/>
                <w:bCs/>
                <w:color w:val="000000"/>
              </w:rPr>
              <w:t>Directory</w:t>
            </w:r>
          </w:p>
        </w:tc>
        <w:tc>
          <w:tcPr>
            <w:tcW w:w="7524"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jc w:val="center"/>
              <w:rPr>
                <w:rFonts w:ascii="Arial" w:eastAsia="Times New Roman" w:hAnsi="Arial" w:cs="Arial"/>
                <w:b/>
                <w:bCs/>
                <w:color w:val="000000"/>
              </w:rPr>
            </w:pPr>
            <w:r w:rsidRPr="0044790F">
              <w:rPr>
                <w:rFonts w:ascii="Arial" w:eastAsia="Times New Roman" w:hAnsi="Arial" w:cs="Arial"/>
                <w:b/>
                <w:bCs/>
                <w:color w:val="000000"/>
              </w:rPr>
              <w:t>Description</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 xml:space="preserve">/ (root </w:t>
            </w:r>
            <w:proofErr w:type="spellStart"/>
            <w:r w:rsidRPr="0044790F">
              <w:rPr>
                <w:rFonts w:ascii="Arial" w:eastAsia="Times New Roman" w:hAnsi="Arial" w:cs="Arial"/>
                <w:color w:val="000000"/>
              </w:rPr>
              <w:t>filesystem</w:t>
            </w:r>
            <w:proofErr w:type="spellEnd"/>
            <w:r w:rsidRPr="0044790F">
              <w:rPr>
                <w:rFonts w:ascii="Arial" w:eastAsia="Times New Roman" w:hAnsi="Arial" w:cs="Arial"/>
                <w:color w:val="000000"/>
              </w:rPr>
              <w:t>)</w:t>
            </w:r>
          </w:p>
        </w:tc>
        <w:tc>
          <w:tcPr>
            <w:tcW w:w="7524"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 xml:space="preserve">The root </w:t>
            </w:r>
            <w:proofErr w:type="spellStart"/>
            <w:r w:rsidRPr="0044790F">
              <w:rPr>
                <w:rFonts w:ascii="Arial" w:eastAsia="Times New Roman" w:hAnsi="Arial" w:cs="Arial"/>
                <w:color w:val="000000"/>
              </w:rPr>
              <w:t>filesystem</w:t>
            </w:r>
            <w:proofErr w:type="spellEnd"/>
            <w:r w:rsidRPr="0044790F">
              <w:rPr>
                <w:rFonts w:ascii="Arial" w:eastAsia="Times New Roman" w:hAnsi="Arial" w:cs="Arial"/>
                <w:color w:val="000000"/>
              </w:rPr>
              <w:t xml:space="preserve"> is the top-level directory of the </w:t>
            </w:r>
            <w:r w:rsidR="00AF70CC">
              <w:rPr>
                <w:rFonts w:ascii="Arial" w:eastAsia="Times New Roman" w:hAnsi="Arial" w:cs="Arial"/>
                <w:color w:val="000000"/>
              </w:rPr>
              <w:t>file system</w:t>
            </w:r>
            <w:r w:rsidRPr="0044790F">
              <w:rPr>
                <w:rFonts w:ascii="Arial" w:eastAsia="Times New Roman" w:hAnsi="Arial" w:cs="Arial"/>
                <w:color w:val="000000"/>
              </w:rPr>
              <w:t xml:space="preserve">. It must contain all of the files required to boot the Linux system before other </w:t>
            </w:r>
            <w:r w:rsidR="00AF70CC">
              <w:rPr>
                <w:rFonts w:ascii="Arial" w:eastAsia="Times New Roman" w:hAnsi="Arial" w:cs="Arial"/>
                <w:color w:val="000000"/>
              </w:rPr>
              <w:t>file systems</w:t>
            </w:r>
            <w:r w:rsidRPr="0044790F">
              <w:rPr>
                <w:rFonts w:ascii="Arial" w:eastAsia="Times New Roman" w:hAnsi="Arial" w:cs="Arial"/>
                <w:color w:val="000000"/>
              </w:rPr>
              <w:t xml:space="preserve"> are mounted. It must include all of the required executables and libraries required to boot the remaining </w:t>
            </w:r>
            <w:proofErr w:type="spellStart"/>
            <w:r w:rsidRPr="0044790F">
              <w:rPr>
                <w:rFonts w:ascii="Arial" w:eastAsia="Times New Roman" w:hAnsi="Arial" w:cs="Arial"/>
                <w:color w:val="000000"/>
              </w:rPr>
              <w:t>filesystems</w:t>
            </w:r>
            <w:proofErr w:type="spellEnd"/>
            <w:r w:rsidRPr="0044790F">
              <w:rPr>
                <w:rFonts w:ascii="Arial" w:eastAsia="Times New Roman" w:hAnsi="Arial" w:cs="Arial"/>
                <w:color w:val="000000"/>
              </w:rPr>
              <w:t xml:space="preserve">. After the system is booted, all other </w:t>
            </w:r>
            <w:proofErr w:type="spellStart"/>
            <w:r w:rsidRPr="0044790F">
              <w:rPr>
                <w:rFonts w:ascii="Arial" w:eastAsia="Times New Roman" w:hAnsi="Arial" w:cs="Arial"/>
                <w:color w:val="000000"/>
              </w:rPr>
              <w:t>filesystems</w:t>
            </w:r>
            <w:proofErr w:type="spellEnd"/>
            <w:r w:rsidRPr="0044790F">
              <w:rPr>
                <w:rFonts w:ascii="Arial" w:eastAsia="Times New Roman" w:hAnsi="Arial" w:cs="Arial"/>
                <w:color w:val="000000"/>
              </w:rPr>
              <w:t xml:space="preserve"> are mounted on standard, well-defined mount points as subdirectories of the root </w:t>
            </w:r>
            <w:proofErr w:type="spellStart"/>
            <w:r w:rsidRPr="0044790F">
              <w:rPr>
                <w:rFonts w:ascii="Arial" w:eastAsia="Times New Roman" w:hAnsi="Arial" w:cs="Arial"/>
                <w:color w:val="000000"/>
              </w:rPr>
              <w:t>filesystem</w:t>
            </w:r>
            <w:proofErr w:type="spellEnd"/>
            <w:r w:rsidRPr="0044790F">
              <w:rPr>
                <w:rFonts w:ascii="Arial" w:eastAsia="Times New Roman" w:hAnsi="Arial" w:cs="Arial"/>
                <w:color w:val="000000"/>
              </w:rPr>
              <w:t>.</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/bin</w:t>
            </w:r>
          </w:p>
        </w:tc>
        <w:tc>
          <w:tcPr>
            <w:tcW w:w="7524"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The /bin directory contains user executable files.</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/boot</w:t>
            </w:r>
          </w:p>
        </w:tc>
        <w:tc>
          <w:tcPr>
            <w:tcW w:w="7524"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 xml:space="preserve">Contains the static </w:t>
            </w:r>
            <w:proofErr w:type="spellStart"/>
            <w:r w:rsidRPr="0044790F">
              <w:rPr>
                <w:rFonts w:ascii="Arial" w:eastAsia="Times New Roman" w:hAnsi="Arial" w:cs="Arial"/>
                <w:color w:val="000000"/>
              </w:rPr>
              <w:t>bootloader</w:t>
            </w:r>
            <w:proofErr w:type="spellEnd"/>
            <w:r w:rsidRPr="0044790F">
              <w:rPr>
                <w:rFonts w:ascii="Arial" w:eastAsia="Times New Roman" w:hAnsi="Arial" w:cs="Arial"/>
                <w:color w:val="000000"/>
              </w:rPr>
              <w:t xml:space="preserve"> and kernel executable and configuration files required to boot a Linux computer.</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/dev</w:t>
            </w:r>
          </w:p>
        </w:tc>
        <w:tc>
          <w:tcPr>
            <w:tcW w:w="7524"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This directory contains the device files for every hardware device attached to the system. These are not device drivers, rather they are files that represent each device on the computer and facilitate access to those devices.</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/etc</w:t>
            </w:r>
          </w:p>
        </w:tc>
        <w:tc>
          <w:tcPr>
            <w:tcW w:w="7524"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Contains the local system configuration files for the host computer.</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/home</w:t>
            </w:r>
          </w:p>
        </w:tc>
        <w:tc>
          <w:tcPr>
            <w:tcW w:w="7524"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Home directory storage for user files. Each user has a subdirectory in /home.</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/lib</w:t>
            </w:r>
          </w:p>
        </w:tc>
        <w:tc>
          <w:tcPr>
            <w:tcW w:w="7524"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Contains shared library files that are required to boot the system.</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shd w:val="clear" w:color="auto" w:fill="E6E6E6"/>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lastRenderedPageBreak/>
              <w:t>/media</w:t>
            </w:r>
          </w:p>
        </w:tc>
        <w:tc>
          <w:tcPr>
            <w:tcW w:w="7524" w:type="dxa"/>
            <w:tcBorders>
              <w:top w:val="outset" w:sz="6" w:space="0" w:color="auto"/>
              <w:left w:val="outset" w:sz="6" w:space="0" w:color="auto"/>
              <w:bottom w:val="outset" w:sz="6" w:space="0" w:color="auto"/>
              <w:right w:val="outset" w:sz="6" w:space="0" w:color="auto"/>
            </w:tcBorders>
            <w:shd w:val="clear" w:color="auto" w:fill="E6E6E6"/>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A place to mount external removable media devices such as USB thumb drives that may be connected to the host.</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shd w:val="clear" w:color="auto" w:fill="E6E6E6"/>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w:t>
            </w:r>
            <w:proofErr w:type="spellStart"/>
            <w:r w:rsidRPr="0044790F">
              <w:rPr>
                <w:rFonts w:ascii="Arial" w:eastAsia="Times New Roman" w:hAnsi="Arial" w:cs="Arial"/>
                <w:color w:val="000000"/>
              </w:rPr>
              <w:t>mnt</w:t>
            </w:r>
            <w:proofErr w:type="spellEnd"/>
          </w:p>
        </w:tc>
        <w:tc>
          <w:tcPr>
            <w:tcW w:w="7524" w:type="dxa"/>
            <w:tcBorders>
              <w:top w:val="outset" w:sz="6" w:space="0" w:color="auto"/>
              <w:left w:val="outset" w:sz="6" w:space="0" w:color="auto"/>
              <w:bottom w:val="outset" w:sz="6" w:space="0" w:color="auto"/>
              <w:right w:val="outset" w:sz="6" w:space="0" w:color="auto"/>
            </w:tcBorders>
            <w:shd w:val="clear" w:color="auto" w:fill="E6E6E6"/>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 xml:space="preserve">A temporary </w:t>
            </w:r>
            <w:proofErr w:type="spellStart"/>
            <w:r w:rsidRPr="0044790F">
              <w:rPr>
                <w:rFonts w:ascii="Arial" w:eastAsia="Times New Roman" w:hAnsi="Arial" w:cs="Arial"/>
                <w:color w:val="000000"/>
              </w:rPr>
              <w:t>mountpoint</w:t>
            </w:r>
            <w:proofErr w:type="spellEnd"/>
            <w:r w:rsidRPr="0044790F">
              <w:rPr>
                <w:rFonts w:ascii="Arial" w:eastAsia="Times New Roman" w:hAnsi="Arial" w:cs="Arial"/>
                <w:color w:val="000000"/>
              </w:rPr>
              <w:t xml:space="preserve"> for regular </w:t>
            </w:r>
            <w:proofErr w:type="spellStart"/>
            <w:r w:rsidRPr="0044790F">
              <w:rPr>
                <w:rFonts w:ascii="Arial" w:eastAsia="Times New Roman" w:hAnsi="Arial" w:cs="Arial"/>
                <w:color w:val="000000"/>
              </w:rPr>
              <w:t>filesystems</w:t>
            </w:r>
            <w:proofErr w:type="spellEnd"/>
            <w:r w:rsidRPr="0044790F">
              <w:rPr>
                <w:rFonts w:ascii="Arial" w:eastAsia="Times New Roman" w:hAnsi="Arial" w:cs="Arial"/>
                <w:color w:val="000000"/>
              </w:rPr>
              <w:t xml:space="preserve"> (as in not removable media) that can be used while the administrator is repairing or working on a </w:t>
            </w:r>
            <w:proofErr w:type="spellStart"/>
            <w:r w:rsidRPr="0044790F">
              <w:rPr>
                <w:rFonts w:ascii="Arial" w:eastAsia="Times New Roman" w:hAnsi="Arial" w:cs="Arial"/>
                <w:color w:val="000000"/>
              </w:rPr>
              <w:t>filesystem</w:t>
            </w:r>
            <w:proofErr w:type="spellEnd"/>
            <w:r w:rsidRPr="0044790F">
              <w:rPr>
                <w:rFonts w:ascii="Arial" w:eastAsia="Times New Roman" w:hAnsi="Arial" w:cs="Arial"/>
                <w:color w:val="000000"/>
              </w:rPr>
              <w:t>.</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/opt</w:t>
            </w:r>
          </w:p>
        </w:tc>
        <w:tc>
          <w:tcPr>
            <w:tcW w:w="7524"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Optional files such as vendor supplied application programs should be located here.</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/root</w:t>
            </w:r>
          </w:p>
        </w:tc>
        <w:tc>
          <w:tcPr>
            <w:tcW w:w="7524"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 xml:space="preserve">This is not the root (/) </w:t>
            </w:r>
            <w:proofErr w:type="spellStart"/>
            <w:r w:rsidRPr="0044790F">
              <w:rPr>
                <w:rFonts w:ascii="Arial" w:eastAsia="Times New Roman" w:hAnsi="Arial" w:cs="Arial"/>
                <w:color w:val="000000"/>
              </w:rPr>
              <w:t>filesystem</w:t>
            </w:r>
            <w:proofErr w:type="spellEnd"/>
            <w:r w:rsidRPr="0044790F">
              <w:rPr>
                <w:rFonts w:ascii="Arial" w:eastAsia="Times New Roman" w:hAnsi="Arial" w:cs="Arial"/>
                <w:color w:val="000000"/>
              </w:rPr>
              <w:t>. It is the home directory for the root user.</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w:t>
            </w:r>
            <w:proofErr w:type="spellStart"/>
            <w:r w:rsidRPr="0044790F">
              <w:rPr>
                <w:rFonts w:ascii="Arial" w:eastAsia="Times New Roman" w:hAnsi="Arial" w:cs="Arial"/>
                <w:color w:val="000000"/>
              </w:rPr>
              <w:t>sbin</w:t>
            </w:r>
            <w:proofErr w:type="spellEnd"/>
          </w:p>
        </w:tc>
        <w:tc>
          <w:tcPr>
            <w:tcW w:w="7524"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System binary files. These are executables used for system administration.</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w:t>
            </w:r>
            <w:proofErr w:type="spellStart"/>
            <w:r w:rsidRPr="0044790F">
              <w:rPr>
                <w:rFonts w:ascii="Arial" w:eastAsia="Times New Roman" w:hAnsi="Arial" w:cs="Arial"/>
                <w:color w:val="000000"/>
              </w:rPr>
              <w:t>tmp</w:t>
            </w:r>
            <w:proofErr w:type="spellEnd"/>
          </w:p>
        </w:tc>
        <w:tc>
          <w:tcPr>
            <w:tcW w:w="7524"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Temporary directory. Used by the operating system and many programs to store temporary files. Users may also store files here temporarily. Note that files stored here may be deleted at any time without prior notice.</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w:t>
            </w:r>
            <w:proofErr w:type="spellStart"/>
            <w:r w:rsidRPr="0044790F">
              <w:rPr>
                <w:rFonts w:ascii="Arial" w:eastAsia="Times New Roman" w:hAnsi="Arial" w:cs="Arial"/>
                <w:color w:val="000000"/>
              </w:rPr>
              <w:t>usr</w:t>
            </w:r>
            <w:proofErr w:type="spellEnd"/>
          </w:p>
        </w:tc>
        <w:tc>
          <w:tcPr>
            <w:tcW w:w="7524"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These are shareable, read-only files, including executable binaries and libraries, man files, and other types of documentation.</w:t>
            </w:r>
          </w:p>
        </w:tc>
      </w:tr>
      <w:tr w:rsidR="0044790F" w:rsidRPr="0044790F" w:rsidTr="0044790F">
        <w:tc>
          <w:tcPr>
            <w:tcW w:w="1980"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w:t>
            </w:r>
            <w:proofErr w:type="spellStart"/>
            <w:r w:rsidRPr="0044790F">
              <w:rPr>
                <w:rFonts w:ascii="Arial" w:eastAsia="Times New Roman" w:hAnsi="Arial" w:cs="Arial"/>
                <w:color w:val="000000"/>
              </w:rPr>
              <w:t>var</w:t>
            </w:r>
            <w:proofErr w:type="spellEnd"/>
          </w:p>
        </w:tc>
        <w:tc>
          <w:tcPr>
            <w:tcW w:w="7524" w:type="dxa"/>
            <w:tcBorders>
              <w:top w:val="outset" w:sz="6" w:space="0" w:color="auto"/>
              <w:left w:val="outset" w:sz="6" w:space="0" w:color="auto"/>
              <w:bottom w:val="outset" w:sz="6" w:space="0" w:color="auto"/>
              <w:right w:val="outset" w:sz="6" w:space="0" w:color="auto"/>
            </w:tcBorders>
            <w:tcMar>
              <w:top w:w="96" w:type="dxa"/>
              <w:left w:w="96" w:type="dxa"/>
              <w:bottom w:w="96" w:type="dxa"/>
              <w:right w:w="96" w:type="dxa"/>
            </w:tcMar>
            <w:hideMark/>
          </w:tcPr>
          <w:p w:rsidR="0044790F" w:rsidRPr="0044790F" w:rsidRDefault="0044790F" w:rsidP="0044790F">
            <w:pPr>
              <w:spacing w:after="360" w:line="240" w:lineRule="auto"/>
              <w:rPr>
                <w:rFonts w:ascii="Arial" w:eastAsia="Times New Roman" w:hAnsi="Arial" w:cs="Arial"/>
                <w:color w:val="000000"/>
              </w:rPr>
            </w:pPr>
            <w:r w:rsidRPr="0044790F">
              <w:rPr>
                <w:rFonts w:ascii="Arial" w:eastAsia="Times New Roman" w:hAnsi="Arial" w:cs="Arial"/>
                <w:color w:val="000000"/>
              </w:rPr>
              <w:t xml:space="preserve">Variable data files are stored here. This can include things like log files, </w:t>
            </w:r>
            <w:proofErr w:type="spellStart"/>
            <w:r w:rsidRPr="0044790F">
              <w:rPr>
                <w:rFonts w:ascii="Arial" w:eastAsia="Times New Roman" w:hAnsi="Arial" w:cs="Arial"/>
                <w:color w:val="000000"/>
              </w:rPr>
              <w:t>MySQL</w:t>
            </w:r>
            <w:proofErr w:type="spellEnd"/>
            <w:r w:rsidRPr="0044790F">
              <w:rPr>
                <w:rFonts w:ascii="Arial" w:eastAsia="Times New Roman" w:hAnsi="Arial" w:cs="Arial"/>
                <w:color w:val="000000"/>
              </w:rPr>
              <w:t>, and other database files, web server data files, email inboxes, and much more.</w:t>
            </w:r>
          </w:p>
        </w:tc>
      </w:tr>
    </w:tbl>
    <w:p w:rsidR="0044790F" w:rsidRDefault="0044790F" w:rsidP="0044790F">
      <w:pPr>
        <w:rPr>
          <w:rFonts w:ascii="Times New Roman" w:hAnsi="Times New Roman" w:cs="Times New Roman"/>
          <w:sz w:val="32"/>
        </w:rPr>
      </w:pPr>
    </w:p>
    <w:p w:rsidR="00D04DC0" w:rsidRDefault="006044B8" w:rsidP="0044790F">
      <w:pPr>
        <w:rPr>
          <w:rFonts w:ascii="Times New Roman" w:hAnsi="Times New Roman" w:cs="Times New Roman"/>
          <w:b/>
          <w:sz w:val="32"/>
          <w:u w:val="single"/>
        </w:rPr>
      </w:pPr>
      <w:r w:rsidRPr="006044B8">
        <w:rPr>
          <w:rFonts w:ascii="Times New Roman" w:hAnsi="Times New Roman" w:cs="Times New Roman"/>
          <w:b/>
          <w:sz w:val="32"/>
          <w:u w:val="single"/>
        </w:rPr>
        <w:t>Linux process tree:</w:t>
      </w:r>
    </w:p>
    <w:p w:rsidR="00D04DC0" w:rsidRPr="00D04DC0" w:rsidRDefault="00D04DC0" w:rsidP="00D04DC0">
      <w:pPr>
        <w:shd w:val="clear" w:color="auto" w:fill="FFFFFF"/>
        <w:spacing w:after="144" w:line="240" w:lineRule="auto"/>
        <w:rPr>
          <w:rFonts w:ascii="Times New Roman" w:eastAsia="Times New Roman" w:hAnsi="Times New Roman" w:cs="Times New Roman"/>
          <w:sz w:val="28"/>
          <w:szCs w:val="28"/>
        </w:rPr>
      </w:pPr>
      <w:r w:rsidRPr="00D04DC0">
        <w:rPr>
          <w:rFonts w:ascii="Times New Roman" w:eastAsia="Times New Roman" w:hAnsi="Times New Roman" w:cs="Times New Roman"/>
          <w:sz w:val="28"/>
          <w:szCs w:val="28"/>
        </w:rPr>
        <w:t>What is Linux process tree?</w:t>
      </w:r>
    </w:p>
    <w:p w:rsidR="00D04DC0" w:rsidRDefault="00D04DC0" w:rsidP="00D04DC0">
      <w:pPr>
        <w:shd w:val="clear" w:color="auto" w:fill="FFFFFF"/>
        <w:spacing w:after="0" w:line="240" w:lineRule="auto"/>
        <w:rPr>
          <w:rFonts w:ascii="Times New Roman" w:eastAsia="Times New Roman" w:hAnsi="Times New Roman" w:cs="Times New Roman"/>
          <w:sz w:val="28"/>
          <w:szCs w:val="28"/>
          <w:lang/>
        </w:rPr>
      </w:pPr>
      <w:proofErr w:type="spellStart"/>
      <w:r w:rsidRPr="00D04DC0">
        <w:rPr>
          <w:rFonts w:ascii="Times New Roman" w:eastAsia="Times New Roman" w:hAnsi="Times New Roman" w:cs="Times New Roman"/>
          <w:sz w:val="28"/>
          <w:szCs w:val="28"/>
          <w:lang/>
        </w:rPr>
        <w:t>Pstree</w:t>
      </w:r>
      <w:proofErr w:type="spellEnd"/>
      <w:r w:rsidRPr="00D04DC0">
        <w:rPr>
          <w:rFonts w:ascii="Times New Roman" w:eastAsia="Times New Roman" w:hAnsi="Times New Roman" w:cs="Times New Roman"/>
          <w:sz w:val="28"/>
          <w:szCs w:val="28"/>
          <w:lang/>
        </w:rPr>
        <w:t xml:space="preserve"> is </w:t>
      </w:r>
      <w:r w:rsidRPr="00D04DC0">
        <w:rPr>
          <w:rFonts w:ascii="Times New Roman" w:eastAsia="Times New Roman" w:hAnsi="Times New Roman" w:cs="Times New Roman"/>
          <w:bCs/>
          <w:sz w:val="28"/>
          <w:szCs w:val="28"/>
          <w:lang/>
        </w:rPr>
        <w:t>a Linux command that shows the running processes as a tree</w:t>
      </w:r>
      <w:r w:rsidRPr="00D04DC0">
        <w:rPr>
          <w:rFonts w:ascii="Times New Roman" w:eastAsia="Times New Roman" w:hAnsi="Times New Roman" w:cs="Times New Roman"/>
          <w:sz w:val="28"/>
          <w:szCs w:val="28"/>
          <w:lang/>
        </w:rPr>
        <w:t xml:space="preserve">. It is used as a more visual alternative to the </w:t>
      </w:r>
      <w:proofErr w:type="spellStart"/>
      <w:r w:rsidRPr="00D04DC0">
        <w:rPr>
          <w:rFonts w:ascii="Times New Roman" w:eastAsia="Times New Roman" w:hAnsi="Times New Roman" w:cs="Times New Roman"/>
          <w:sz w:val="28"/>
          <w:szCs w:val="28"/>
          <w:lang/>
        </w:rPr>
        <w:t>ps</w:t>
      </w:r>
      <w:proofErr w:type="spellEnd"/>
      <w:r w:rsidRPr="00D04DC0">
        <w:rPr>
          <w:rFonts w:ascii="Times New Roman" w:eastAsia="Times New Roman" w:hAnsi="Times New Roman" w:cs="Times New Roman"/>
          <w:sz w:val="28"/>
          <w:szCs w:val="28"/>
          <w:lang/>
        </w:rPr>
        <w:t xml:space="preserve"> command. The root of the tree is either init or the process with the given </w:t>
      </w:r>
      <w:proofErr w:type="spellStart"/>
      <w:proofErr w:type="gramStart"/>
      <w:r w:rsidRPr="00D04DC0">
        <w:rPr>
          <w:rFonts w:ascii="Times New Roman" w:eastAsia="Times New Roman" w:hAnsi="Times New Roman" w:cs="Times New Roman"/>
          <w:sz w:val="28"/>
          <w:szCs w:val="28"/>
          <w:lang/>
        </w:rPr>
        <w:t>pid</w:t>
      </w:r>
      <w:proofErr w:type="spellEnd"/>
      <w:proofErr w:type="gramEnd"/>
      <w:r w:rsidRPr="00D04DC0">
        <w:rPr>
          <w:rFonts w:ascii="Times New Roman" w:eastAsia="Times New Roman" w:hAnsi="Times New Roman" w:cs="Times New Roman"/>
          <w:sz w:val="28"/>
          <w:szCs w:val="28"/>
          <w:lang/>
        </w:rPr>
        <w:t>.</w:t>
      </w:r>
    </w:p>
    <w:p w:rsidR="00216387" w:rsidRDefault="00216387" w:rsidP="00216387">
      <w:pPr>
        <w:shd w:val="clear" w:color="auto" w:fill="FFFFFF"/>
        <w:spacing w:after="144" w:line="240" w:lineRule="auto"/>
        <w:rPr>
          <w:rFonts w:ascii="Times New Roman" w:eastAsia="Times New Roman" w:hAnsi="Times New Roman" w:cs="Times New Roman"/>
          <w:color w:val="202124"/>
          <w:sz w:val="28"/>
          <w:szCs w:val="28"/>
        </w:rPr>
      </w:pPr>
      <w:r w:rsidRPr="00216387">
        <w:rPr>
          <w:rFonts w:ascii="Times New Roman" w:eastAsia="Times New Roman" w:hAnsi="Times New Roman" w:cs="Times New Roman"/>
          <w:color w:val="202124"/>
          <w:sz w:val="28"/>
          <w:szCs w:val="28"/>
        </w:rPr>
        <w:t> </w:t>
      </w:r>
    </w:p>
    <w:p w:rsidR="00216387" w:rsidRPr="00216387" w:rsidRDefault="00216387" w:rsidP="00216387">
      <w:pPr>
        <w:shd w:val="clear" w:color="auto" w:fill="FFFFFF"/>
        <w:spacing w:after="144" w:line="240" w:lineRule="auto"/>
        <w:rPr>
          <w:rFonts w:ascii="Times New Roman" w:eastAsia="Times New Roman" w:hAnsi="Times New Roman" w:cs="Times New Roman"/>
          <w:sz w:val="28"/>
          <w:szCs w:val="28"/>
        </w:rPr>
      </w:pPr>
      <w:r w:rsidRPr="00216387">
        <w:rPr>
          <w:rFonts w:ascii="Times New Roman" w:eastAsia="Times New Roman" w:hAnsi="Times New Roman" w:cs="Times New Roman"/>
          <w:sz w:val="28"/>
          <w:szCs w:val="28"/>
        </w:rPr>
        <w:t>5 Linux process States?</w:t>
      </w:r>
    </w:p>
    <w:p w:rsidR="00216387" w:rsidRPr="00216387" w:rsidRDefault="00216387" w:rsidP="00216387">
      <w:pPr>
        <w:shd w:val="clear" w:color="auto" w:fill="FFFFFF"/>
        <w:spacing w:after="144" w:line="240" w:lineRule="auto"/>
        <w:rPr>
          <w:rFonts w:ascii="Times New Roman" w:eastAsia="Times New Roman" w:hAnsi="Times New Roman" w:cs="Times New Roman"/>
          <w:sz w:val="28"/>
          <w:szCs w:val="28"/>
        </w:rPr>
      </w:pPr>
      <w:r w:rsidRPr="00216387">
        <w:rPr>
          <w:rFonts w:ascii="Times New Roman" w:eastAsia="Times New Roman" w:hAnsi="Times New Roman" w:cs="Times New Roman"/>
          <w:sz w:val="28"/>
          <w:szCs w:val="28"/>
        </w:rPr>
        <w:t xml:space="preserve">In Linux, a process is an instance of executing a program or command. </w:t>
      </w:r>
      <w:r w:rsidRPr="00216387">
        <w:rPr>
          <w:rFonts w:ascii="Times New Roman" w:eastAsia="Times New Roman" w:hAnsi="Times New Roman" w:cs="Times New Roman"/>
          <w:bCs/>
          <w:sz w:val="28"/>
          <w:szCs w:val="28"/>
        </w:rPr>
        <w:t>While these processes exist, they'll be in one of the five possible states:</w:t>
      </w:r>
    </w:p>
    <w:p w:rsidR="00216387" w:rsidRPr="00216387" w:rsidRDefault="00216387" w:rsidP="00216387">
      <w:pPr>
        <w:numPr>
          <w:ilvl w:val="0"/>
          <w:numId w:val="2"/>
        </w:numPr>
        <w:shd w:val="clear" w:color="auto" w:fill="FFFFFF"/>
        <w:spacing w:after="48" w:line="240" w:lineRule="auto"/>
        <w:ind w:left="0"/>
        <w:rPr>
          <w:rFonts w:ascii="Times New Roman" w:eastAsia="Times New Roman" w:hAnsi="Times New Roman" w:cs="Times New Roman"/>
          <w:sz w:val="28"/>
          <w:szCs w:val="28"/>
        </w:rPr>
      </w:pPr>
      <w:r w:rsidRPr="00216387">
        <w:rPr>
          <w:rFonts w:ascii="Times New Roman" w:eastAsia="Times New Roman" w:hAnsi="Times New Roman" w:cs="Times New Roman"/>
          <w:sz w:val="28"/>
          <w:szCs w:val="28"/>
        </w:rPr>
        <w:t xml:space="preserve">Running or </w:t>
      </w:r>
      <w:proofErr w:type="spellStart"/>
      <w:r w:rsidRPr="00216387">
        <w:rPr>
          <w:rFonts w:ascii="Times New Roman" w:eastAsia="Times New Roman" w:hAnsi="Times New Roman" w:cs="Times New Roman"/>
          <w:sz w:val="28"/>
          <w:szCs w:val="28"/>
        </w:rPr>
        <w:t>Runnable</w:t>
      </w:r>
      <w:proofErr w:type="spellEnd"/>
      <w:r w:rsidRPr="00216387">
        <w:rPr>
          <w:rFonts w:ascii="Times New Roman" w:eastAsia="Times New Roman" w:hAnsi="Times New Roman" w:cs="Times New Roman"/>
          <w:sz w:val="28"/>
          <w:szCs w:val="28"/>
        </w:rPr>
        <w:t xml:space="preserve"> (R)</w:t>
      </w:r>
    </w:p>
    <w:p w:rsidR="00216387" w:rsidRPr="00216387" w:rsidRDefault="00216387" w:rsidP="00216387">
      <w:pPr>
        <w:numPr>
          <w:ilvl w:val="0"/>
          <w:numId w:val="2"/>
        </w:numPr>
        <w:shd w:val="clear" w:color="auto" w:fill="FFFFFF"/>
        <w:spacing w:after="48" w:line="240" w:lineRule="auto"/>
        <w:ind w:left="0"/>
        <w:rPr>
          <w:rFonts w:ascii="Times New Roman" w:eastAsia="Times New Roman" w:hAnsi="Times New Roman" w:cs="Times New Roman"/>
          <w:sz w:val="28"/>
          <w:szCs w:val="28"/>
        </w:rPr>
      </w:pPr>
      <w:r w:rsidRPr="00216387">
        <w:rPr>
          <w:rFonts w:ascii="Times New Roman" w:eastAsia="Times New Roman" w:hAnsi="Times New Roman" w:cs="Times New Roman"/>
          <w:sz w:val="28"/>
          <w:szCs w:val="28"/>
        </w:rPr>
        <w:t>Uninterruptible Sleep (D)</w:t>
      </w:r>
    </w:p>
    <w:p w:rsidR="00216387" w:rsidRPr="00216387" w:rsidRDefault="00216387" w:rsidP="00216387">
      <w:pPr>
        <w:numPr>
          <w:ilvl w:val="0"/>
          <w:numId w:val="2"/>
        </w:numPr>
        <w:shd w:val="clear" w:color="auto" w:fill="FFFFFF"/>
        <w:spacing w:after="48" w:line="240" w:lineRule="auto"/>
        <w:ind w:left="0"/>
        <w:rPr>
          <w:rFonts w:ascii="Times New Roman" w:eastAsia="Times New Roman" w:hAnsi="Times New Roman" w:cs="Times New Roman"/>
          <w:sz w:val="28"/>
          <w:szCs w:val="28"/>
        </w:rPr>
      </w:pPr>
      <w:proofErr w:type="spellStart"/>
      <w:r w:rsidRPr="00216387">
        <w:rPr>
          <w:rFonts w:ascii="Times New Roman" w:eastAsia="Times New Roman" w:hAnsi="Times New Roman" w:cs="Times New Roman"/>
          <w:sz w:val="28"/>
          <w:szCs w:val="28"/>
        </w:rPr>
        <w:t>Interruptable</w:t>
      </w:r>
      <w:proofErr w:type="spellEnd"/>
      <w:r w:rsidRPr="00216387">
        <w:rPr>
          <w:rFonts w:ascii="Times New Roman" w:eastAsia="Times New Roman" w:hAnsi="Times New Roman" w:cs="Times New Roman"/>
          <w:sz w:val="28"/>
          <w:szCs w:val="28"/>
        </w:rPr>
        <w:t xml:space="preserve"> Sleep (S)</w:t>
      </w:r>
    </w:p>
    <w:p w:rsidR="00216387" w:rsidRPr="00216387" w:rsidRDefault="00216387" w:rsidP="00216387">
      <w:pPr>
        <w:numPr>
          <w:ilvl w:val="0"/>
          <w:numId w:val="2"/>
        </w:numPr>
        <w:shd w:val="clear" w:color="auto" w:fill="FFFFFF"/>
        <w:spacing w:after="48" w:line="240" w:lineRule="auto"/>
        <w:ind w:left="0"/>
        <w:rPr>
          <w:rFonts w:ascii="Times New Roman" w:eastAsia="Times New Roman" w:hAnsi="Times New Roman" w:cs="Times New Roman"/>
          <w:sz w:val="28"/>
          <w:szCs w:val="28"/>
        </w:rPr>
      </w:pPr>
      <w:r w:rsidRPr="00216387">
        <w:rPr>
          <w:rFonts w:ascii="Times New Roman" w:eastAsia="Times New Roman" w:hAnsi="Times New Roman" w:cs="Times New Roman"/>
          <w:sz w:val="28"/>
          <w:szCs w:val="28"/>
        </w:rPr>
        <w:t>Stopped (T)</w:t>
      </w:r>
    </w:p>
    <w:p w:rsidR="00216387" w:rsidRPr="00216387" w:rsidRDefault="00216387" w:rsidP="00216387">
      <w:pPr>
        <w:numPr>
          <w:ilvl w:val="0"/>
          <w:numId w:val="2"/>
        </w:numPr>
        <w:shd w:val="clear" w:color="auto" w:fill="FFFFFF"/>
        <w:spacing w:line="240" w:lineRule="auto"/>
        <w:ind w:left="0"/>
        <w:rPr>
          <w:rFonts w:ascii="Times New Roman" w:eastAsia="Times New Roman" w:hAnsi="Times New Roman" w:cs="Times New Roman"/>
          <w:sz w:val="28"/>
          <w:szCs w:val="28"/>
        </w:rPr>
      </w:pPr>
      <w:r w:rsidRPr="00216387">
        <w:rPr>
          <w:rFonts w:ascii="Times New Roman" w:eastAsia="Times New Roman" w:hAnsi="Times New Roman" w:cs="Times New Roman"/>
          <w:sz w:val="28"/>
          <w:szCs w:val="28"/>
        </w:rPr>
        <w:t>Zombie (Z)</w:t>
      </w:r>
    </w:p>
    <w:p w:rsidR="00216387" w:rsidRPr="00D04DC0" w:rsidRDefault="00216387" w:rsidP="00D04DC0">
      <w:pPr>
        <w:shd w:val="clear" w:color="auto" w:fill="FFFFFF"/>
        <w:spacing w:after="0" w:line="240" w:lineRule="auto"/>
        <w:rPr>
          <w:rFonts w:ascii="Times New Roman" w:eastAsia="Times New Roman" w:hAnsi="Times New Roman" w:cs="Times New Roman"/>
          <w:sz w:val="28"/>
          <w:szCs w:val="28"/>
        </w:rPr>
      </w:pPr>
    </w:p>
    <w:p w:rsidR="00FD595D" w:rsidRPr="00D04DC0" w:rsidRDefault="00BB70B4" w:rsidP="00D04DC0">
      <w:pPr>
        <w:rPr>
          <w:rFonts w:ascii="Times New Roman" w:hAnsi="Times New Roman" w:cs="Times New Roman"/>
          <w:sz w:val="32"/>
        </w:rPr>
      </w:pPr>
      <w:r>
        <w:rPr>
          <w:rFonts w:ascii="Times New Roman" w:hAnsi="Times New Roman" w:cs="Times New Roman"/>
          <w:noProof/>
          <w:sz w:val="32"/>
        </w:rPr>
        <w:drawing>
          <wp:inline distT="0" distB="0" distL="0" distR="0">
            <wp:extent cx="3688080" cy="338328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688080" cy="3383280"/>
                    </a:xfrm>
                    <a:prstGeom prst="rect">
                      <a:avLst/>
                    </a:prstGeom>
                    <a:noFill/>
                    <a:ln w="9525">
                      <a:noFill/>
                      <a:miter lim="800000"/>
                      <a:headEnd/>
                      <a:tailEnd/>
                    </a:ln>
                  </pic:spPr>
                </pic:pic>
              </a:graphicData>
            </a:graphic>
          </wp:inline>
        </w:drawing>
      </w:r>
    </w:p>
    <w:sectPr w:rsidR="00FD595D" w:rsidRPr="00D04DC0" w:rsidSect="0044790F">
      <w:pgSz w:w="12240" w:h="15840"/>
      <w:pgMar w:top="270" w:right="540" w:bottom="27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2678"/>
    <w:multiLevelType w:val="multilevel"/>
    <w:tmpl w:val="52F6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E525C5"/>
    <w:multiLevelType w:val="multilevel"/>
    <w:tmpl w:val="3B6A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790F"/>
    <w:rsid w:val="00216387"/>
    <w:rsid w:val="002C57BD"/>
    <w:rsid w:val="0044790F"/>
    <w:rsid w:val="006044B8"/>
    <w:rsid w:val="00643E1A"/>
    <w:rsid w:val="007C1A5D"/>
    <w:rsid w:val="00AF70CC"/>
    <w:rsid w:val="00BB70B4"/>
    <w:rsid w:val="00C74CC3"/>
    <w:rsid w:val="00D04DC0"/>
    <w:rsid w:val="00FA1052"/>
    <w:rsid w:val="00FD5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9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4B8"/>
    <w:rPr>
      <w:i/>
      <w:iCs/>
    </w:rPr>
  </w:style>
  <w:style w:type="character" w:customStyle="1" w:styleId="hgkelc">
    <w:name w:val="hgkelc"/>
    <w:basedOn w:val="DefaultParagraphFont"/>
    <w:rsid w:val="00D04DC0"/>
  </w:style>
  <w:style w:type="paragraph" w:styleId="BalloonText">
    <w:name w:val="Balloon Text"/>
    <w:basedOn w:val="Normal"/>
    <w:link w:val="BalloonTextChar"/>
    <w:uiPriority w:val="99"/>
    <w:semiHidden/>
    <w:unhideWhenUsed/>
    <w:rsid w:val="00D0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9905841">
      <w:bodyDiv w:val="1"/>
      <w:marLeft w:val="0"/>
      <w:marRight w:val="0"/>
      <w:marTop w:val="0"/>
      <w:marBottom w:val="0"/>
      <w:divBdr>
        <w:top w:val="none" w:sz="0" w:space="0" w:color="auto"/>
        <w:left w:val="none" w:sz="0" w:space="0" w:color="auto"/>
        <w:bottom w:val="none" w:sz="0" w:space="0" w:color="auto"/>
        <w:right w:val="none" w:sz="0" w:space="0" w:color="auto"/>
      </w:divBdr>
    </w:div>
    <w:div w:id="538593528">
      <w:bodyDiv w:val="1"/>
      <w:marLeft w:val="0"/>
      <w:marRight w:val="0"/>
      <w:marTop w:val="0"/>
      <w:marBottom w:val="0"/>
      <w:divBdr>
        <w:top w:val="none" w:sz="0" w:space="0" w:color="auto"/>
        <w:left w:val="none" w:sz="0" w:space="0" w:color="auto"/>
        <w:bottom w:val="none" w:sz="0" w:space="0" w:color="auto"/>
        <w:right w:val="none" w:sz="0" w:space="0" w:color="auto"/>
      </w:divBdr>
      <w:divsChild>
        <w:div w:id="186453480">
          <w:marLeft w:val="0"/>
          <w:marRight w:val="0"/>
          <w:marTop w:val="0"/>
          <w:marBottom w:val="0"/>
          <w:divBdr>
            <w:top w:val="none" w:sz="0" w:space="0" w:color="auto"/>
            <w:left w:val="none" w:sz="0" w:space="0" w:color="auto"/>
            <w:bottom w:val="none" w:sz="0" w:space="0" w:color="auto"/>
            <w:right w:val="none" w:sz="0" w:space="0" w:color="auto"/>
          </w:divBdr>
          <w:divsChild>
            <w:div w:id="1384402856">
              <w:marLeft w:val="0"/>
              <w:marRight w:val="0"/>
              <w:marTop w:val="144"/>
              <w:marBottom w:val="144"/>
              <w:divBdr>
                <w:top w:val="none" w:sz="0" w:space="0" w:color="auto"/>
                <w:left w:val="none" w:sz="0" w:space="0" w:color="auto"/>
                <w:bottom w:val="none" w:sz="0" w:space="0" w:color="auto"/>
                <w:right w:val="none" w:sz="0" w:space="0" w:color="auto"/>
              </w:divBdr>
            </w:div>
          </w:divsChild>
        </w:div>
        <w:div w:id="1042484666">
          <w:marLeft w:val="0"/>
          <w:marRight w:val="0"/>
          <w:marTop w:val="0"/>
          <w:marBottom w:val="0"/>
          <w:divBdr>
            <w:top w:val="none" w:sz="0" w:space="0" w:color="auto"/>
            <w:left w:val="none" w:sz="0" w:space="0" w:color="auto"/>
            <w:bottom w:val="none" w:sz="0" w:space="0" w:color="auto"/>
            <w:right w:val="none" w:sz="0" w:space="0" w:color="auto"/>
          </w:divBdr>
          <w:divsChild>
            <w:div w:id="22564200">
              <w:marLeft w:val="0"/>
              <w:marRight w:val="0"/>
              <w:marTop w:val="0"/>
              <w:marBottom w:val="0"/>
              <w:divBdr>
                <w:top w:val="none" w:sz="0" w:space="0" w:color="auto"/>
                <w:left w:val="none" w:sz="0" w:space="0" w:color="auto"/>
                <w:bottom w:val="none" w:sz="0" w:space="0" w:color="auto"/>
                <w:right w:val="none" w:sz="0" w:space="0" w:color="auto"/>
              </w:divBdr>
              <w:divsChild>
                <w:div w:id="1193567195">
                  <w:marLeft w:val="0"/>
                  <w:marRight w:val="0"/>
                  <w:marTop w:val="0"/>
                  <w:marBottom w:val="0"/>
                  <w:divBdr>
                    <w:top w:val="none" w:sz="0" w:space="0" w:color="auto"/>
                    <w:left w:val="none" w:sz="0" w:space="0" w:color="auto"/>
                    <w:bottom w:val="none" w:sz="0" w:space="0" w:color="auto"/>
                    <w:right w:val="none" w:sz="0" w:space="0" w:color="auto"/>
                  </w:divBdr>
                  <w:divsChild>
                    <w:div w:id="885412124">
                      <w:marLeft w:val="0"/>
                      <w:marRight w:val="0"/>
                      <w:marTop w:val="0"/>
                      <w:marBottom w:val="0"/>
                      <w:divBdr>
                        <w:top w:val="none" w:sz="0" w:space="0" w:color="auto"/>
                        <w:left w:val="none" w:sz="0" w:space="0" w:color="auto"/>
                        <w:bottom w:val="none" w:sz="0" w:space="0" w:color="auto"/>
                        <w:right w:val="none" w:sz="0" w:space="0" w:color="auto"/>
                      </w:divBdr>
                      <w:divsChild>
                        <w:div w:id="1441335835">
                          <w:marLeft w:val="0"/>
                          <w:marRight w:val="0"/>
                          <w:marTop w:val="0"/>
                          <w:marBottom w:val="0"/>
                          <w:divBdr>
                            <w:top w:val="none" w:sz="0" w:space="0" w:color="auto"/>
                            <w:left w:val="none" w:sz="0" w:space="0" w:color="auto"/>
                            <w:bottom w:val="none" w:sz="0" w:space="0" w:color="auto"/>
                            <w:right w:val="none" w:sz="0" w:space="0" w:color="auto"/>
                          </w:divBdr>
                          <w:divsChild>
                            <w:div w:id="1990863237">
                              <w:marLeft w:val="240"/>
                              <w:marRight w:val="0"/>
                              <w:marTop w:val="0"/>
                              <w:marBottom w:val="0"/>
                              <w:divBdr>
                                <w:top w:val="none" w:sz="0" w:space="0" w:color="auto"/>
                                <w:left w:val="none" w:sz="0" w:space="0" w:color="auto"/>
                                <w:bottom w:val="none" w:sz="0" w:space="0" w:color="auto"/>
                                <w:right w:val="none" w:sz="0" w:space="0" w:color="auto"/>
                              </w:divBdr>
                              <w:divsChild>
                                <w:div w:id="1385526140">
                                  <w:marLeft w:val="0"/>
                                  <w:marRight w:val="0"/>
                                  <w:marTop w:val="0"/>
                                  <w:marBottom w:val="0"/>
                                  <w:divBdr>
                                    <w:top w:val="none" w:sz="0" w:space="0" w:color="auto"/>
                                    <w:left w:val="none" w:sz="0" w:space="0" w:color="auto"/>
                                    <w:bottom w:val="none" w:sz="0" w:space="0" w:color="auto"/>
                                    <w:right w:val="none" w:sz="0" w:space="0" w:color="auto"/>
                                  </w:divBdr>
                                  <w:divsChild>
                                    <w:div w:id="79254976">
                                      <w:marLeft w:val="0"/>
                                      <w:marRight w:val="0"/>
                                      <w:marTop w:val="0"/>
                                      <w:marBottom w:val="0"/>
                                      <w:divBdr>
                                        <w:top w:val="none" w:sz="0" w:space="0" w:color="auto"/>
                                        <w:left w:val="none" w:sz="0" w:space="0" w:color="auto"/>
                                        <w:bottom w:val="none" w:sz="0" w:space="0" w:color="auto"/>
                                        <w:right w:val="none" w:sz="0" w:space="0" w:color="auto"/>
                                      </w:divBdr>
                                      <w:divsChild>
                                        <w:div w:id="833687887">
                                          <w:marLeft w:val="0"/>
                                          <w:marRight w:val="0"/>
                                          <w:marTop w:val="0"/>
                                          <w:marBottom w:val="0"/>
                                          <w:divBdr>
                                            <w:top w:val="none" w:sz="0" w:space="0" w:color="auto"/>
                                            <w:left w:val="none" w:sz="0" w:space="0" w:color="auto"/>
                                            <w:bottom w:val="none" w:sz="0" w:space="0" w:color="auto"/>
                                            <w:right w:val="none" w:sz="0" w:space="0" w:color="auto"/>
                                          </w:divBdr>
                                          <w:divsChild>
                                            <w:div w:id="1534535971">
                                              <w:marLeft w:val="0"/>
                                              <w:marRight w:val="0"/>
                                              <w:marTop w:val="0"/>
                                              <w:marBottom w:val="0"/>
                                              <w:divBdr>
                                                <w:top w:val="none" w:sz="0" w:space="0" w:color="auto"/>
                                                <w:left w:val="none" w:sz="0" w:space="0" w:color="auto"/>
                                                <w:bottom w:val="none" w:sz="0" w:space="0" w:color="auto"/>
                                                <w:right w:val="none" w:sz="0" w:space="0" w:color="auto"/>
                                              </w:divBdr>
                                              <w:divsChild>
                                                <w:div w:id="1636332781">
                                                  <w:marLeft w:val="0"/>
                                                  <w:marRight w:val="0"/>
                                                  <w:marTop w:val="0"/>
                                                  <w:marBottom w:val="0"/>
                                                  <w:divBdr>
                                                    <w:top w:val="none" w:sz="0" w:space="0" w:color="auto"/>
                                                    <w:left w:val="none" w:sz="0" w:space="0" w:color="auto"/>
                                                    <w:bottom w:val="none" w:sz="0" w:space="0" w:color="auto"/>
                                                    <w:right w:val="none" w:sz="0" w:space="0" w:color="auto"/>
                                                  </w:divBdr>
                                                  <w:divsChild>
                                                    <w:div w:id="2028406547">
                                                      <w:marLeft w:val="192"/>
                                                      <w:marRight w:val="192"/>
                                                      <w:marTop w:val="0"/>
                                                      <w:marBottom w:val="0"/>
                                                      <w:divBdr>
                                                        <w:top w:val="none" w:sz="0" w:space="0" w:color="auto"/>
                                                        <w:left w:val="none" w:sz="0" w:space="0" w:color="auto"/>
                                                        <w:bottom w:val="none" w:sz="0" w:space="0" w:color="auto"/>
                                                        <w:right w:val="none" w:sz="0" w:space="0" w:color="auto"/>
                                                      </w:divBdr>
                                                      <w:divsChild>
                                                        <w:div w:id="1197889652">
                                                          <w:marLeft w:val="0"/>
                                                          <w:marRight w:val="0"/>
                                                          <w:marTop w:val="0"/>
                                                          <w:marBottom w:val="0"/>
                                                          <w:divBdr>
                                                            <w:top w:val="none" w:sz="0" w:space="0" w:color="auto"/>
                                                            <w:left w:val="none" w:sz="0" w:space="0" w:color="auto"/>
                                                            <w:bottom w:val="none" w:sz="0" w:space="0" w:color="auto"/>
                                                            <w:right w:val="none" w:sz="0" w:space="0" w:color="auto"/>
                                                          </w:divBdr>
                                                          <w:divsChild>
                                                            <w:div w:id="1979258673">
                                                              <w:marLeft w:val="0"/>
                                                              <w:marRight w:val="0"/>
                                                              <w:marTop w:val="0"/>
                                                              <w:marBottom w:val="0"/>
                                                              <w:divBdr>
                                                                <w:top w:val="none" w:sz="0" w:space="0" w:color="auto"/>
                                                                <w:left w:val="none" w:sz="0" w:space="0" w:color="auto"/>
                                                                <w:bottom w:val="none" w:sz="0" w:space="0" w:color="auto"/>
                                                                <w:right w:val="none" w:sz="0" w:space="0" w:color="auto"/>
                                                              </w:divBdr>
                                                              <w:divsChild>
                                                                <w:div w:id="20079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160883">
                      <w:marLeft w:val="0"/>
                      <w:marRight w:val="0"/>
                      <w:marTop w:val="0"/>
                      <w:marBottom w:val="0"/>
                      <w:divBdr>
                        <w:top w:val="none" w:sz="0" w:space="0" w:color="auto"/>
                        <w:left w:val="none" w:sz="0" w:space="0" w:color="auto"/>
                        <w:bottom w:val="none" w:sz="0" w:space="0" w:color="auto"/>
                        <w:right w:val="none" w:sz="0" w:space="0" w:color="auto"/>
                      </w:divBdr>
                      <w:divsChild>
                        <w:div w:id="926187265">
                          <w:marLeft w:val="0"/>
                          <w:marRight w:val="0"/>
                          <w:marTop w:val="0"/>
                          <w:marBottom w:val="0"/>
                          <w:divBdr>
                            <w:top w:val="none" w:sz="0" w:space="0" w:color="auto"/>
                            <w:left w:val="none" w:sz="0" w:space="0" w:color="auto"/>
                            <w:bottom w:val="none" w:sz="0" w:space="0" w:color="auto"/>
                            <w:right w:val="none" w:sz="0" w:space="0" w:color="auto"/>
                          </w:divBdr>
                          <w:divsChild>
                            <w:div w:id="7935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94819">
      <w:bodyDiv w:val="1"/>
      <w:marLeft w:val="0"/>
      <w:marRight w:val="0"/>
      <w:marTop w:val="0"/>
      <w:marBottom w:val="0"/>
      <w:divBdr>
        <w:top w:val="none" w:sz="0" w:space="0" w:color="auto"/>
        <w:left w:val="none" w:sz="0" w:space="0" w:color="auto"/>
        <w:bottom w:val="none" w:sz="0" w:space="0" w:color="auto"/>
        <w:right w:val="none" w:sz="0" w:space="0" w:color="auto"/>
      </w:divBdr>
      <w:divsChild>
        <w:div w:id="1890724385">
          <w:marLeft w:val="0"/>
          <w:marRight w:val="0"/>
          <w:marTop w:val="0"/>
          <w:marBottom w:val="0"/>
          <w:divBdr>
            <w:top w:val="none" w:sz="0" w:space="0" w:color="auto"/>
            <w:left w:val="none" w:sz="0" w:space="0" w:color="auto"/>
            <w:bottom w:val="none" w:sz="0" w:space="0" w:color="auto"/>
            <w:right w:val="none" w:sz="0" w:space="0" w:color="auto"/>
          </w:divBdr>
          <w:divsChild>
            <w:div w:id="237711506">
              <w:marLeft w:val="0"/>
              <w:marRight w:val="0"/>
              <w:marTop w:val="144"/>
              <w:marBottom w:val="144"/>
              <w:divBdr>
                <w:top w:val="none" w:sz="0" w:space="0" w:color="auto"/>
                <w:left w:val="none" w:sz="0" w:space="0" w:color="auto"/>
                <w:bottom w:val="none" w:sz="0" w:space="0" w:color="auto"/>
                <w:right w:val="none" w:sz="0" w:space="0" w:color="auto"/>
              </w:divBdr>
            </w:div>
          </w:divsChild>
        </w:div>
        <w:div w:id="1434402862">
          <w:marLeft w:val="0"/>
          <w:marRight w:val="0"/>
          <w:marTop w:val="0"/>
          <w:marBottom w:val="0"/>
          <w:divBdr>
            <w:top w:val="none" w:sz="0" w:space="0" w:color="auto"/>
            <w:left w:val="none" w:sz="0" w:space="0" w:color="auto"/>
            <w:bottom w:val="none" w:sz="0" w:space="0" w:color="auto"/>
            <w:right w:val="none" w:sz="0" w:space="0" w:color="auto"/>
          </w:divBdr>
          <w:divsChild>
            <w:div w:id="486942001">
              <w:marLeft w:val="0"/>
              <w:marRight w:val="0"/>
              <w:marTop w:val="0"/>
              <w:marBottom w:val="0"/>
              <w:divBdr>
                <w:top w:val="none" w:sz="0" w:space="0" w:color="auto"/>
                <w:left w:val="none" w:sz="0" w:space="0" w:color="auto"/>
                <w:bottom w:val="none" w:sz="0" w:space="0" w:color="auto"/>
                <w:right w:val="none" w:sz="0" w:space="0" w:color="auto"/>
              </w:divBdr>
              <w:divsChild>
                <w:div w:id="612322437">
                  <w:marLeft w:val="0"/>
                  <w:marRight w:val="0"/>
                  <w:marTop w:val="0"/>
                  <w:marBottom w:val="0"/>
                  <w:divBdr>
                    <w:top w:val="none" w:sz="0" w:space="0" w:color="auto"/>
                    <w:left w:val="none" w:sz="0" w:space="0" w:color="auto"/>
                    <w:bottom w:val="none" w:sz="0" w:space="0" w:color="auto"/>
                    <w:right w:val="none" w:sz="0" w:space="0" w:color="auto"/>
                  </w:divBdr>
                  <w:divsChild>
                    <w:div w:id="1971209196">
                      <w:marLeft w:val="0"/>
                      <w:marRight w:val="0"/>
                      <w:marTop w:val="0"/>
                      <w:marBottom w:val="0"/>
                      <w:divBdr>
                        <w:top w:val="none" w:sz="0" w:space="0" w:color="auto"/>
                        <w:left w:val="none" w:sz="0" w:space="0" w:color="auto"/>
                        <w:bottom w:val="none" w:sz="0" w:space="0" w:color="auto"/>
                        <w:right w:val="none" w:sz="0" w:space="0" w:color="auto"/>
                      </w:divBdr>
                      <w:divsChild>
                        <w:div w:id="1007050942">
                          <w:marLeft w:val="0"/>
                          <w:marRight w:val="0"/>
                          <w:marTop w:val="0"/>
                          <w:marBottom w:val="0"/>
                          <w:divBdr>
                            <w:top w:val="none" w:sz="0" w:space="0" w:color="auto"/>
                            <w:left w:val="none" w:sz="0" w:space="0" w:color="auto"/>
                            <w:bottom w:val="none" w:sz="0" w:space="0" w:color="auto"/>
                            <w:right w:val="none" w:sz="0" w:space="0" w:color="auto"/>
                          </w:divBdr>
                          <w:divsChild>
                            <w:div w:id="1017191788">
                              <w:marLeft w:val="240"/>
                              <w:marRight w:val="0"/>
                              <w:marTop w:val="0"/>
                              <w:marBottom w:val="0"/>
                              <w:divBdr>
                                <w:top w:val="none" w:sz="0" w:space="0" w:color="auto"/>
                                <w:left w:val="none" w:sz="0" w:space="0" w:color="auto"/>
                                <w:bottom w:val="none" w:sz="0" w:space="0" w:color="auto"/>
                                <w:right w:val="none" w:sz="0" w:space="0" w:color="auto"/>
                              </w:divBdr>
                              <w:divsChild>
                                <w:div w:id="912853801">
                                  <w:marLeft w:val="0"/>
                                  <w:marRight w:val="0"/>
                                  <w:marTop w:val="0"/>
                                  <w:marBottom w:val="0"/>
                                  <w:divBdr>
                                    <w:top w:val="none" w:sz="0" w:space="0" w:color="auto"/>
                                    <w:left w:val="none" w:sz="0" w:space="0" w:color="auto"/>
                                    <w:bottom w:val="none" w:sz="0" w:space="0" w:color="auto"/>
                                    <w:right w:val="none" w:sz="0" w:space="0" w:color="auto"/>
                                  </w:divBdr>
                                  <w:divsChild>
                                    <w:div w:id="1220625904">
                                      <w:marLeft w:val="0"/>
                                      <w:marRight w:val="0"/>
                                      <w:marTop w:val="0"/>
                                      <w:marBottom w:val="0"/>
                                      <w:divBdr>
                                        <w:top w:val="none" w:sz="0" w:space="0" w:color="auto"/>
                                        <w:left w:val="none" w:sz="0" w:space="0" w:color="auto"/>
                                        <w:bottom w:val="none" w:sz="0" w:space="0" w:color="auto"/>
                                        <w:right w:val="none" w:sz="0" w:space="0" w:color="auto"/>
                                      </w:divBdr>
                                      <w:divsChild>
                                        <w:div w:id="2105687053">
                                          <w:marLeft w:val="0"/>
                                          <w:marRight w:val="0"/>
                                          <w:marTop w:val="0"/>
                                          <w:marBottom w:val="0"/>
                                          <w:divBdr>
                                            <w:top w:val="none" w:sz="0" w:space="0" w:color="auto"/>
                                            <w:left w:val="none" w:sz="0" w:space="0" w:color="auto"/>
                                            <w:bottom w:val="none" w:sz="0" w:space="0" w:color="auto"/>
                                            <w:right w:val="none" w:sz="0" w:space="0" w:color="auto"/>
                                          </w:divBdr>
                                          <w:divsChild>
                                            <w:div w:id="389378736">
                                              <w:marLeft w:val="0"/>
                                              <w:marRight w:val="0"/>
                                              <w:marTop w:val="0"/>
                                              <w:marBottom w:val="0"/>
                                              <w:divBdr>
                                                <w:top w:val="none" w:sz="0" w:space="0" w:color="auto"/>
                                                <w:left w:val="none" w:sz="0" w:space="0" w:color="auto"/>
                                                <w:bottom w:val="none" w:sz="0" w:space="0" w:color="auto"/>
                                                <w:right w:val="none" w:sz="0" w:space="0" w:color="auto"/>
                                              </w:divBdr>
                                              <w:divsChild>
                                                <w:div w:id="1772358811">
                                                  <w:marLeft w:val="0"/>
                                                  <w:marRight w:val="0"/>
                                                  <w:marTop w:val="0"/>
                                                  <w:marBottom w:val="0"/>
                                                  <w:divBdr>
                                                    <w:top w:val="none" w:sz="0" w:space="0" w:color="auto"/>
                                                    <w:left w:val="none" w:sz="0" w:space="0" w:color="auto"/>
                                                    <w:bottom w:val="none" w:sz="0" w:space="0" w:color="auto"/>
                                                    <w:right w:val="none" w:sz="0" w:space="0" w:color="auto"/>
                                                  </w:divBdr>
                                                  <w:divsChild>
                                                    <w:div w:id="1122843291">
                                                      <w:marLeft w:val="192"/>
                                                      <w:marRight w:val="192"/>
                                                      <w:marTop w:val="0"/>
                                                      <w:marBottom w:val="0"/>
                                                      <w:divBdr>
                                                        <w:top w:val="none" w:sz="0" w:space="0" w:color="auto"/>
                                                        <w:left w:val="none" w:sz="0" w:space="0" w:color="auto"/>
                                                        <w:bottom w:val="none" w:sz="0" w:space="0" w:color="auto"/>
                                                        <w:right w:val="none" w:sz="0" w:space="0" w:color="auto"/>
                                                      </w:divBdr>
                                                      <w:divsChild>
                                                        <w:div w:id="2018191735">
                                                          <w:marLeft w:val="0"/>
                                                          <w:marRight w:val="0"/>
                                                          <w:marTop w:val="0"/>
                                                          <w:marBottom w:val="0"/>
                                                          <w:divBdr>
                                                            <w:top w:val="none" w:sz="0" w:space="0" w:color="auto"/>
                                                            <w:left w:val="none" w:sz="0" w:space="0" w:color="auto"/>
                                                            <w:bottom w:val="none" w:sz="0" w:space="0" w:color="auto"/>
                                                            <w:right w:val="none" w:sz="0" w:space="0" w:color="auto"/>
                                                          </w:divBdr>
                                                          <w:divsChild>
                                                            <w:div w:id="557712641">
                                                              <w:marLeft w:val="0"/>
                                                              <w:marRight w:val="0"/>
                                                              <w:marTop w:val="0"/>
                                                              <w:marBottom w:val="0"/>
                                                              <w:divBdr>
                                                                <w:top w:val="none" w:sz="0" w:space="0" w:color="auto"/>
                                                                <w:left w:val="none" w:sz="0" w:space="0" w:color="auto"/>
                                                                <w:bottom w:val="none" w:sz="0" w:space="0" w:color="auto"/>
                                                                <w:right w:val="none" w:sz="0" w:space="0" w:color="auto"/>
                                                              </w:divBdr>
                                                              <w:divsChild>
                                                                <w:div w:id="13396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5626745">
                      <w:marLeft w:val="0"/>
                      <w:marRight w:val="0"/>
                      <w:marTop w:val="0"/>
                      <w:marBottom w:val="0"/>
                      <w:divBdr>
                        <w:top w:val="none" w:sz="0" w:space="0" w:color="auto"/>
                        <w:left w:val="none" w:sz="0" w:space="0" w:color="auto"/>
                        <w:bottom w:val="none" w:sz="0" w:space="0" w:color="auto"/>
                        <w:right w:val="none" w:sz="0" w:space="0" w:color="auto"/>
                      </w:divBdr>
                      <w:divsChild>
                        <w:div w:id="331883680">
                          <w:marLeft w:val="0"/>
                          <w:marRight w:val="0"/>
                          <w:marTop w:val="0"/>
                          <w:marBottom w:val="0"/>
                          <w:divBdr>
                            <w:top w:val="none" w:sz="0" w:space="0" w:color="auto"/>
                            <w:left w:val="none" w:sz="0" w:space="0" w:color="auto"/>
                            <w:bottom w:val="none" w:sz="0" w:space="0" w:color="auto"/>
                            <w:right w:val="none" w:sz="0" w:space="0" w:color="auto"/>
                          </w:divBdr>
                          <w:divsChild>
                            <w:div w:id="918565371">
                              <w:marLeft w:val="0"/>
                              <w:marRight w:val="0"/>
                              <w:marTop w:val="0"/>
                              <w:marBottom w:val="240"/>
                              <w:divBdr>
                                <w:top w:val="none" w:sz="0" w:space="0" w:color="auto"/>
                                <w:left w:val="none" w:sz="0" w:space="0" w:color="auto"/>
                                <w:bottom w:val="none" w:sz="0" w:space="0" w:color="auto"/>
                                <w:right w:val="none" w:sz="0" w:space="0" w:color="auto"/>
                              </w:divBdr>
                              <w:divsChild>
                                <w:div w:id="1128007061">
                                  <w:marLeft w:val="0"/>
                                  <w:marRight w:val="0"/>
                                  <w:marTop w:val="0"/>
                                  <w:marBottom w:val="144"/>
                                  <w:divBdr>
                                    <w:top w:val="none" w:sz="0" w:space="0" w:color="auto"/>
                                    <w:left w:val="none" w:sz="0" w:space="0" w:color="auto"/>
                                    <w:bottom w:val="none" w:sz="0" w:space="0" w:color="auto"/>
                                    <w:right w:val="none" w:sz="0" w:space="0" w:color="auto"/>
                                  </w:divBdr>
                                </w:div>
                                <w:div w:id="16711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70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818C3-928F-45EE-8BB7-9B6AAF02C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2022-11-28T22:54:00Z</dcterms:created>
  <dcterms:modified xsi:type="dcterms:W3CDTF">2022-11-28T22:54:00Z</dcterms:modified>
</cp:coreProperties>
</file>