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3A8A"/>
          <w:sz w:val="40"/>
        </w:rPr>
        <w:t>CampusFind: System Design &amp; Architectural Blueprint</w:t>
      </w:r>
    </w:p>
    <w:p>
      <w:pPr>
        <w:spacing w:after="240"/>
      </w:pPr>
      <w:r>
        <w:rPr>
          <w:i/>
          <w:color w:val="64748B"/>
          <w:sz w:val="22"/>
        </w:rPr>
        <w:t>Capstone Deliverable 2: Architectural Specifications, ERD, Use Cases &amp; Wireframes</w:t>
        <w:br/>
        <w:t>Course: CSBC 252 - Introduction to Cloud Computing</w:t>
      </w:r>
    </w:p>
    <w:p>
      <w:pPr>
        <w:pStyle w:val="Heading1"/>
        <w:keepNext/>
        <w:spacing w:before="280" w:after="80"/>
      </w:pPr>
      <w:r>
        <w:rPr>
          <w:b/>
          <w:color w:val="1E3A8A"/>
          <w:sz w:val="32"/>
        </w:rPr>
        <w:t>1. AWS Multi-Tier Cloud Architecture</w:t>
      </w:r>
    </w:p>
    <w:p>
      <w:pPr>
        <w:spacing w:after="120" w:line="276" w:lineRule="auto"/>
      </w:pPr>
      <w:r>
        <w:rPr>
          <w:i w:val="0"/>
          <w:color w:val="1E293B"/>
        </w:rPr>
        <w:t>The CampusFind cloud platform utilizes a decoupled multi-tier architecture designed for high availability, least-privilege security, and seamless horizontal scaling within the AWS Free Tier.</w:t>
      </w:r>
    </w:p>
    <w:p>
      <w:r>
        <w:drawing>
          <wp:inline xmlns:a="http://schemas.openxmlformats.org/drawingml/2006/main" xmlns:pic="http://schemas.openxmlformats.org/drawingml/2006/picture">
            <wp:extent cx="5943600" cy="3696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Figure 1: AWS Multi-Tier Cloud Architecture &amp; Network Topology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Web / Compute Tier (EC2): </w:t>
      </w:r>
      <w:r>
        <w:rPr>
          <w:color w:val="1E293B"/>
        </w:rPr>
        <w:t>Public-facing Ubuntu 24.04 instance running Nginx as a reverse proxy for SSL termination, static file caching, and request forwarding to Gunicorn WSGI on port 8000.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Data Tier (Amazon RDS): </w:t>
      </w:r>
      <w:r>
        <w:rPr>
          <w:color w:val="1E293B"/>
        </w:rPr>
        <w:t>PostgreSQL 15 hosted in a private DB subnet group. Inbound access on port 5432 is restricted exclusively to requests originating from `CampusFind-EC2-SG`.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Object Storage Tier (Amazon S3): </w:t>
      </w:r>
      <w:r>
        <w:rPr>
          <w:color w:val="1E293B"/>
        </w:rPr>
        <w:t>Item photographs are streamed directly to Amazon S3 (`campusfind-item-images-capstone`), ensuring zero ephemeral storage load on the EC2 instance.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Telemetry &amp; Health Tier: </w:t>
      </w:r>
      <w:r>
        <w:rPr>
          <w:color w:val="1E293B"/>
        </w:rPr>
        <w:t>EC2 CPU utilization, network traffic, and `/health/` status are monitored continuously.</w:t>
      </w:r>
    </w:p>
    <w:p>
      <w:pPr>
        <w:pStyle w:val="Heading1"/>
        <w:keepNext/>
        <w:spacing w:before="280" w:after="80"/>
      </w:pPr>
      <w:r>
        <w:rPr>
          <w:b/>
          <w:color w:val="1E3A8A"/>
          <w:sz w:val="32"/>
        </w:rPr>
        <w:t>2. Use Case Specifications &amp; Actor Matrix</w:t>
      </w:r>
    </w:p>
    <w:p>
      <w:pPr>
        <w:spacing w:after="120" w:line="276" w:lineRule="auto"/>
      </w:pPr>
      <w:r>
        <w:rPr>
          <w:i w:val="0"/>
          <w:color w:val="1E293B"/>
        </w:rPr>
        <w:t>CampusFind recognizes three distinct user roles: (1) Student / Campus Users, (2) Campus Staff / Moderators, and (3) System Operations Administrators.</w:t>
      </w:r>
    </w:p>
    <w:p>
      <w:r>
        <w:drawing>
          <wp:inline xmlns:a="http://schemas.openxmlformats.org/drawingml/2006/main" xmlns:pic="http://schemas.openxmlformats.org/drawingml/2006/picture">
            <wp:extent cx="5669280" cy="4108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Figure 2: UML Use Case Diagram across Campus User, Moderator, and Administrator Actors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Use Case ID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Use Case Title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Primary Actor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Key Action &amp; Precondition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UC-01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Register &amp; Authenticate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Campus User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User registers with student username/email; password hashed via PBKDF2.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UC-02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Search &amp; Multi-Filter Catalog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All Users / Public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Filter live catalog by keyword, status, category, location preset, and date.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UC-03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Post Lost / Found Item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Authenticated User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Submit item with 5MB photo; uploaded securely to Amazon S3 bucket.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UC-04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Generate Print Flyer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Campus User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One-click print view formatted with tear-off contact strips for bulletin boards.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UC-05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Mark Claimed / Reunited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Post Owner / Staff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Toggle item status to Claimed; timestamps resolution for campus analytics.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UC-06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Admin Operations (/ops/)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System Administrator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User account governance, soft-delete queue recovery, and immutable audit logs.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80"/>
      </w:pPr>
      <w:r>
        <w:rPr>
          <w:b/>
          <w:color w:val="1E3A8A"/>
          <w:sz w:val="32"/>
        </w:rPr>
        <w:t>3. Database Schema Design (3NF Normalization)</w:t>
      </w:r>
    </w:p>
    <w:p>
      <w:pPr>
        <w:spacing w:after="120" w:line="276" w:lineRule="auto"/>
      </w:pPr>
      <w:r>
        <w:rPr>
          <w:i w:val="0"/>
          <w:color w:val="1E293B"/>
        </w:rPr>
        <w:t>The relational database structure adheres to Third Normal Form (3NF), decoupling authentication, item postings, administrative audit logs, and security telemetry.</w:t>
      </w:r>
    </w:p>
    <w:p>
      <w:r>
        <w:drawing>
          <wp:inline xmlns:a="http://schemas.openxmlformats.org/drawingml/2006/main" xmlns:pic="http://schemas.openxmlformats.org/drawingml/2006/picture">
            <wp:extent cx="5943600" cy="39457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Figure 3: Entity Relationship Diagram (ERD) with Table Attributes and Foreign Keys</w:t>
      </w:r>
    </w:p>
    <w:p>
      <w:pPr>
        <w:pStyle w:val="Heading2"/>
        <w:keepNext/>
        <w:spacing w:before="200" w:after="40"/>
      </w:pPr>
      <w:r>
        <w:rPr>
          <w:b/>
          <w:color w:val="2563EB"/>
          <w:sz w:val="26"/>
        </w:rPr>
        <w:t>Data Dictionary &amp; Key Table Specifications: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auth_user: </w:t>
      </w:r>
      <w:r>
        <w:rPr>
          <w:color w:val="1E293B"/>
        </w:rPr>
        <w:t>`id` (PK, Int), `username` (VarChar 150), `email` (VarChar 254), `password` (PBKDF2 Hash), `is_staff` (Bool), `is_superuser` (Bool), `date_joined` (DateTime).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core_item: </w:t>
      </w:r>
      <w:r>
        <w:rPr>
          <w:color w:val="1E293B"/>
        </w:rPr>
        <w:t>`id` (PK, BigInt), `user_id` (FK -&gt; auth_user.id), `title` (VarChar 200), `category` (VarChar 50, Indexed), `status` (VarChar 20, Indexed), `location` (VarChar 200), `date_event` (Date), `description` (TextField), `contact` (VarChar 255), `image` (ImageField / S3 URL), `is_deleted` (Bool), `created_at` (DateTime, Indexed).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core_auditlog: </w:t>
      </w:r>
      <w:r>
        <w:rPr>
          <w:color w:val="1E293B"/>
        </w:rPr>
        <w:t>`id` (PK, BigInt), `actor_id` (FK -&gt; auth_user.id), `action_type` (VarChar 50), `target_model` (VarChar 50), `target_id` (Int), `details` (JSON / TextField), `ip_address` (GenericIPAddress), `created_at` (DateTime).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core_securityalert: </w:t>
      </w:r>
      <w:r>
        <w:rPr>
          <w:color w:val="1E293B"/>
        </w:rPr>
        <w:t>`id` (PK, BigInt), `alert_type` (VarChar 50), `severity` (VarChar 20), `description` (TextField), `is_resolved` (Bool), `resolved_by_id` (FK -&gt; auth_user.id), `created_at` (DateTime).</w:t>
      </w:r>
    </w:p>
    <w:p>
      <w:pPr>
        <w:pStyle w:val="Heading1"/>
        <w:keepNext/>
        <w:spacing w:before="280" w:after="80"/>
      </w:pPr>
      <w:r>
        <w:rPr>
          <w:b/>
          <w:color w:val="1E3A8A"/>
          <w:sz w:val="32"/>
        </w:rPr>
        <w:t>4. User Interface Architecture &amp; Navigation Flow</w:t>
      </w:r>
    </w:p>
    <w:p>
      <w:pPr>
        <w:spacing w:after="120" w:line="276" w:lineRule="auto"/>
      </w:pPr>
      <w:r>
        <w:rPr>
          <w:i w:val="0"/>
          <w:color w:val="1E293B"/>
        </w:rPr>
        <w:t>The presentation layer is designed with Bootstrap 5.3, offering responsive interfaces across mobile, tablet, and desktop viewports.</w:t>
      </w:r>
    </w:p>
    <w:p>
      <w:r>
        <w:drawing>
          <wp:inline xmlns:a="http://schemas.openxmlformats.org/drawingml/2006/main" xmlns:pic="http://schemas.openxmlformats.org/drawingml/2006/picture">
            <wp:extent cx="5943600" cy="36960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wireframe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Figure 4: CampusFind User Interface Wireframe &amp; Screen Transition Architecture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CSBC 252: Introduction to Cloud Computing — Semester Capstone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CampusFind Capstone | System Design &amp;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