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60B73E9A" w:rsidR="00E947D7" w:rsidRDefault="00E33DC8">
              <w:pPr>
                <w:pStyle w:val="Publishwithline"/>
              </w:pPr>
              <w:r w:rsidRPr="00EF343A">
                <w:rPr>
                  <w:rFonts w:ascii="Georgia" w:eastAsia="Times New Roman" w:hAnsi="Georgia" w:cs="Times New Roman"/>
                  <w:color w:val="666666"/>
                  <w:kern w:val="36"/>
                  <w:sz w:val="48"/>
                  <w:szCs w:val="48"/>
                </w:rPr>
                <w:t>AWS DynamoDB Best Practices</w:t>
              </w:r>
            </w:p>
          </w:sdtContent>
        </w:sdt>
        <w:p w14:paraId="4007A0B5" w14:textId="77777777" w:rsidR="00E947D7" w:rsidRDefault="00E947D7">
          <w:pPr>
            <w:pStyle w:val="underline"/>
          </w:pPr>
        </w:p>
        <w:p w14:paraId="55E0EA0D" w14:textId="77777777" w:rsidR="00E33DC8" w:rsidRDefault="008001CC">
          <w:pPr>
            <w:pStyle w:val="Heading1"/>
            <w:shd w:val="clear" w:color="auto" w:fill="FFFFFF"/>
            <w:spacing w:before="0"/>
            <w:textAlignment w:val="baseline"/>
            <w:divId w:val="495730783"/>
          </w:pPr>
        </w:p>
      </w:sdtContent>
    </w:sdt>
    <w:p w14:paraId="7EB18974" w14:textId="77777777" w:rsidR="00E33DC8" w:rsidRDefault="00E33DC8">
      <w:pPr>
        <w:pStyle w:val="Heading2"/>
        <w:shd w:val="clear" w:color="auto" w:fill="FFFFFF"/>
        <w:spacing w:before="0"/>
        <w:textAlignment w:val="baseline"/>
        <w:divId w:val="495730783"/>
        <w:rPr>
          <w:rFonts w:ascii="Georgia" w:hAnsi="Georgia"/>
          <w:b w:val="0"/>
          <w:bCs w:val="0"/>
          <w:color w:val="666666"/>
          <w:sz w:val="42"/>
          <w:szCs w:val="42"/>
        </w:rPr>
      </w:pPr>
      <w:r>
        <w:rPr>
          <w:rFonts w:ascii="inherit" w:hAnsi="inherit"/>
          <w:b w:val="0"/>
          <w:bCs w:val="0"/>
          <w:color w:val="666666"/>
          <w:sz w:val="42"/>
          <w:szCs w:val="42"/>
          <w:bdr w:val="none" w:sz="0" w:space="0" w:color="auto" w:frame="1"/>
        </w:rPr>
        <w:t>Primary Key Design</w:t>
      </w:r>
    </w:p>
    <w:p w14:paraId="7BF32A69" w14:textId="77777777" w:rsidR="00E33DC8" w:rsidRPr="008001CC" w:rsidRDefault="00E33DC8" w:rsidP="00E33DC8">
      <w:pPr>
        <w:numPr>
          <w:ilvl w:val="0"/>
          <w:numId w:val="23"/>
        </w:numPr>
        <w:shd w:val="clear" w:color="auto" w:fill="FFFFFF"/>
        <w:spacing w:after="0"/>
        <w:ind w:left="1125"/>
        <w:textAlignment w:val="baseline"/>
        <w:divId w:val="495730783"/>
        <w:rPr>
          <w:rFonts w:ascii="inherit" w:hAnsi="inherit"/>
          <w:color w:val="00B050"/>
          <w:sz w:val="27"/>
          <w:szCs w:val="27"/>
        </w:rPr>
      </w:pPr>
      <w:r w:rsidRPr="008001CC">
        <w:rPr>
          <w:rFonts w:ascii="inherit" w:hAnsi="inherit"/>
          <w:color w:val="00B050"/>
          <w:sz w:val="27"/>
          <w:szCs w:val="27"/>
        </w:rPr>
        <w:t xml:space="preserve">Primary key uniquely identifies each item in a DynamoDB table and can be simple (a partition key only) or composite (a partition key combined with a </w:t>
      </w:r>
      <w:proofErr w:type="gramStart"/>
      <w:r w:rsidRPr="008001CC">
        <w:rPr>
          <w:rFonts w:ascii="inherit" w:hAnsi="inherit"/>
          <w:color w:val="00B050"/>
          <w:sz w:val="27"/>
          <w:szCs w:val="27"/>
        </w:rPr>
        <w:t>sort</w:t>
      </w:r>
      <w:proofErr w:type="gramEnd"/>
      <w:r w:rsidRPr="008001CC">
        <w:rPr>
          <w:rFonts w:ascii="inherit" w:hAnsi="inherit"/>
          <w:color w:val="00B050"/>
          <w:sz w:val="27"/>
          <w:szCs w:val="27"/>
        </w:rPr>
        <w:t xml:space="preserve"> key).</w:t>
      </w:r>
    </w:p>
    <w:p w14:paraId="3AAF0757" w14:textId="77777777" w:rsidR="00E33DC8" w:rsidRPr="008001CC" w:rsidRDefault="00E33DC8" w:rsidP="00E33DC8">
      <w:pPr>
        <w:numPr>
          <w:ilvl w:val="0"/>
          <w:numId w:val="23"/>
        </w:numPr>
        <w:shd w:val="clear" w:color="auto" w:fill="FFFFFF"/>
        <w:spacing w:after="0"/>
        <w:ind w:left="1125"/>
        <w:textAlignment w:val="baseline"/>
        <w:divId w:val="495730783"/>
        <w:rPr>
          <w:rFonts w:ascii="inherit" w:hAnsi="inherit"/>
          <w:color w:val="00B050"/>
          <w:sz w:val="27"/>
          <w:szCs w:val="27"/>
        </w:rPr>
      </w:pPr>
      <w:r w:rsidRPr="008001CC">
        <w:rPr>
          <w:rFonts w:ascii="inherit" w:hAnsi="inherit"/>
          <w:color w:val="00B050"/>
          <w:sz w:val="27"/>
          <w:szCs w:val="27"/>
        </w:rPr>
        <w:t>Partition key portion of a table’s primary key determines the logical partitions in which a table’s data is stored, which in turn affects the underlying physical partitions.</w:t>
      </w:r>
    </w:p>
    <w:p w14:paraId="67B95E8F" w14:textId="77777777" w:rsidR="00E33DC8" w:rsidRPr="008001CC" w:rsidRDefault="00E33DC8" w:rsidP="00E33DC8">
      <w:pPr>
        <w:numPr>
          <w:ilvl w:val="0"/>
          <w:numId w:val="23"/>
        </w:numPr>
        <w:shd w:val="clear" w:color="auto" w:fill="FFFFFF"/>
        <w:spacing w:after="0"/>
        <w:ind w:left="1125"/>
        <w:textAlignment w:val="baseline"/>
        <w:divId w:val="495730783"/>
        <w:rPr>
          <w:rFonts w:ascii="inherit" w:hAnsi="inherit"/>
          <w:color w:val="00B050"/>
          <w:sz w:val="27"/>
          <w:szCs w:val="27"/>
        </w:rPr>
      </w:pPr>
      <w:r w:rsidRPr="008001CC">
        <w:rPr>
          <w:rStyle w:val="Strong"/>
          <w:rFonts w:ascii="inherit" w:hAnsi="inherit"/>
          <w:color w:val="00B050"/>
          <w:sz w:val="27"/>
          <w:szCs w:val="27"/>
          <w:bdr w:val="none" w:sz="0" w:space="0" w:color="auto" w:frame="1"/>
        </w:rPr>
        <w:t>Avoid hot keys and hot partitions</w:t>
      </w:r>
      <w:r w:rsidRPr="008001CC">
        <w:rPr>
          <w:rFonts w:ascii="inherit" w:hAnsi="inherit"/>
          <w:color w:val="00B050"/>
          <w:sz w:val="27"/>
          <w:szCs w:val="27"/>
        </w:rPr>
        <w:t> – a partition key design that doesn’t distribute I/O requests evenly can create “hot” partitions that result in throttling and use the provisioned I/O capacity inefficiently.</w:t>
      </w:r>
    </w:p>
    <w:p w14:paraId="4D6D7881" w14:textId="77777777" w:rsidR="00E33DC8" w:rsidRPr="008001CC" w:rsidRDefault="00E33DC8" w:rsidP="00E33DC8">
      <w:pPr>
        <w:numPr>
          <w:ilvl w:val="0"/>
          <w:numId w:val="23"/>
        </w:numPr>
        <w:shd w:val="clear" w:color="auto" w:fill="FFFFFF"/>
        <w:spacing w:after="0"/>
        <w:ind w:left="1125"/>
        <w:textAlignment w:val="baseline"/>
        <w:divId w:val="495730783"/>
        <w:rPr>
          <w:rFonts w:ascii="inherit" w:hAnsi="inherit"/>
          <w:color w:val="00B050"/>
          <w:sz w:val="27"/>
          <w:szCs w:val="27"/>
        </w:rPr>
      </w:pPr>
      <w:r w:rsidRPr="008001CC">
        <w:rPr>
          <w:rFonts w:ascii="inherit" w:hAnsi="inherit"/>
          <w:color w:val="00B050"/>
          <w:sz w:val="27"/>
          <w:szCs w:val="27"/>
        </w:rPr>
        <w:t>Partition key should have many unique values</w:t>
      </w:r>
    </w:p>
    <w:p w14:paraId="7BB4BD8F" w14:textId="77777777" w:rsidR="00E33DC8" w:rsidRDefault="00E33DC8" w:rsidP="00E33DC8">
      <w:pPr>
        <w:numPr>
          <w:ilvl w:val="0"/>
          <w:numId w:val="23"/>
        </w:numPr>
        <w:shd w:val="clear" w:color="auto" w:fill="FFFFFF"/>
        <w:spacing w:after="0"/>
        <w:ind w:left="1125"/>
        <w:textAlignment w:val="baseline"/>
        <w:divId w:val="495730783"/>
        <w:rPr>
          <w:rFonts w:ascii="inherit" w:hAnsi="inherit"/>
          <w:color w:val="666666"/>
          <w:sz w:val="27"/>
          <w:szCs w:val="27"/>
        </w:rPr>
      </w:pPr>
      <w:r w:rsidRPr="008001CC">
        <w:rPr>
          <w:rFonts w:ascii="inherit" w:hAnsi="inherit"/>
          <w:color w:val="00B050"/>
          <w:sz w:val="27"/>
          <w:szCs w:val="27"/>
        </w:rPr>
        <w:t>Distribute reads / writes uniformly across partitions to avoid hot partitions</w:t>
      </w:r>
    </w:p>
    <w:p w14:paraId="5FD908D7" w14:textId="77777777" w:rsidR="00E33DC8" w:rsidRPr="008001CC" w:rsidRDefault="00E33DC8" w:rsidP="00E33DC8">
      <w:pPr>
        <w:numPr>
          <w:ilvl w:val="0"/>
          <w:numId w:val="23"/>
        </w:numPr>
        <w:shd w:val="clear" w:color="auto" w:fill="FFFFFF"/>
        <w:spacing w:after="0"/>
        <w:ind w:left="1125"/>
        <w:textAlignment w:val="baseline"/>
        <w:divId w:val="495730783"/>
        <w:rPr>
          <w:rFonts w:ascii="inherit" w:hAnsi="inherit"/>
          <w:color w:val="00B050"/>
          <w:sz w:val="27"/>
          <w:szCs w:val="27"/>
        </w:rPr>
      </w:pPr>
      <w:r w:rsidRPr="008001CC">
        <w:rPr>
          <w:rFonts w:ascii="inherit" w:hAnsi="inherit"/>
          <w:color w:val="00B050"/>
          <w:sz w:val="27"/>
          <w:szCs w:val="27"/>
        </w:rPr>
        <w:t>Store hot and cold data in separate tables</w:t>
      </w:r>
    </w:p>
    <w:p w14:paraId="2434FD8B" w14:textId="77777777" w:rsidR="00E33DC8" w:rsidRDefault="00E33DC8" w:rsidP="00E33DC8">
      <w:pPr>
        <w:numPr>
          <w:ilvl w:val="0"/>
          <w:numId w:val="23"/>
        </w:numPr>
        <w:shd w:val="clear" w:color="auto" w:fill="FFFFFF"/>
        <w:spacing w:after="0"/>
        <w:ind w:left="1125"/>
        <w:textAlignment w:val="baseline"/>
        <w:divId w:val="495730783"/>
        <w:rPr>
          <w:rFonts w:ascii="inherit" w:hAnsi="inherit"/>
          <w:color w:val="666666"/>
          <w:sz w:val="27"/>
          <w:szCs w:val="27"/>
        </w:rPr>
      </w:pPr>
      <w:r>
        <w:rPr>
          <w:rFonts w:ascii="inherit" w:hAnsi="inherit"/>
          <w:color w:val="666666"/>
          <w:sz w:val="27"/>
          <w:szCs w:val="27"/>
        </w:rPr>
        <w:t>Consider all possible query patterns to eliminate use of scans and filters</w:t>
      </w:r>
    </w:p>
    <w:p w14:paraId="1FEF8461" w14:textId="77777777" w:rsidR="00E33DC8" w:rsidRPr="008001CC" w:rsidRDefault="00E33DC8" w:rsidP="00E33DC8">
      <w:pPr>
        <w:numPr>
          <w:ilvl w:val="0"/>
          <w:numId w:val="23"/>
        </w:numPr>
        <w:shd w:val="clear" w:color="auto" w:fill="FFFFFF"/>
        <w:spacing w:after="0"/>
        <w:ind w:left="1125"/>
        <w:textAlignment w:val="baseline"/>
        <w:divId w:val="495730783"/>
        <w:rPr>
          <w:rFonts w:ascii="inherit" w:hAnsi="inherit"/>
          <w:color w:val="00B050"/>
          <w:sz w:val="27"/>
          <w:szCs w:val="27"/>
        </w:rPr>
      </w:pPr>
      <w:r w:rsidRPr="008001CC">
        <w:rPr>
          <w:rFonts w:ascii="inherit" w:hAnsi="inherit"/>
          <w:color w:val="00B050"/>
          <w:sz w:val="27"/>
          <w:szCs w:val="27"/>
        </w:rPr>
        <w:t>Choose sort key depending on the application’s needs</w:t>
      </w:r>
    </w:p>
    <w:p w14:paraId="42B650A2" w14:textId="77777777" w:rsidR="00E33DC8" w:rsidRDefault="00E33DC8">
      <w:pPr>
        <w:pStyle w:val="Heading2"/>
        <w:shd w:val="clear" w:color="auto" w:fill="FFFFFF"/>
        <w:spacing w:before="0"/>
        <w:textAlignment w:val="baseline"/>
        <w:divId w:val="495730783"/>
        <w:rPr>
          <w:rFonts w:ascii="Georgia" w:hAnsi="Georgia"/>
          <w:b w:val="0"/>
          <w:bCs w:val="0"/>
          <w:color w:val="666666"/>
          <w:sz w:val="42"/>
          <w:szCs w:val="42"/>
        </w:rPr>
      </w:pPr>
      <w:r>
        <w:rPr>
          <w:rFonts w:ascii="inherit" w:hAnsi="inherit"/>
          <w:b w:val="0"/>
          <w:bCs w:val="0"/>
          <w:color w:val="666666"/>
          <w:sz w:val="42"/>
          <w:szCs w:val="42"/>
          <w:bdr w:val="none" w:sz="0" w:space="0" w:color="auto" w:frame="1"/>
        </w:rPr>
        <w:t>Secondary Indexes</w:t>
      </w:r>
    </w:p>
    <w:p w14:paraId="6740370F" w14:textId="77777777" w:rsidR="00E33DC8" w:rsidRDefault="00E33DC8" w:rsidP="00E33DC8">
      <w:pPr>
        <w:numPr>
          <w:ilvl w:val="0"/>
          <w:numId w:val="24"/>
        </w:numPr>
        <w:shd w:val="clear" w:color="auto" w:fill="FFFFFF"/>
        <w:spacing w:after="0"/>
        <w:ind w:left="1125"/>
        <w:textAlignment w:val="baseline"/>
        <w:divId w:val="495730783"/>
        <w:rPr>
          <w:rFonts w:ascii="inherit" w:hAnsi="inherit"/>
          <w:color w:val="666666"/>
          <w:sz w:val="27"/>
          <w:szCs w:val="27"/>
        </w:rPr>
      </w:pPr>
      <w:r>
        <w:rPr>
          <w:rFonts w:ascii="inherit" w:hAnsi="inherit"/>
          <w:color w:val="666666"/>
          <w:sz w:val="27"/>
          <w:szCs w:val="27"/>
        </w:rPr>
        <w:t>Use indexes based on when the application’s query patterns</w:t>
      </w:r>
    </w:p>
    <w:p w14:paraId="258D1CFB" w14:textId="77777777" w:rsidR="00E33DC8" w:rsidRPr="008001CC" w:rsidRDefault="00E33DC8" w:rsidP="00E33DC8">
      <w:pPr>
        <w:numPr>
          <w:ilvl w:val="0"/>
          <w:numId w:val="24"/>
        </w:numPr>
        <w:shd w:val="clear" w:color="auto" w:fill="FFFFFF"/>
        <w:spacing w:after="0"/>
        <w:ind w:left="1125"/>
        <w:textAlignment w:val="baseline"/>
        <w:divId w:val="495730783"/>
        <w:rPr>
          <w:rFonts w:ascii="inherit" w:hAnsi="inherit"/>
          <w:color w:val="00B050"/>
          <w:sz w:val="27"/>
          <w:szCs w:val="27"/>
        </w:rPr>
      </w:pPr>
      <w:r w:rsidRPr="008001CC">
        <w:rPr>
          <w:rFonts w:ascii="inherit" w:hAnsi="inherit"/>
          <w:color w:val="00B050"/>
          <w:sz w:val="27"/>
          <w:szCs w:val="27"/>
        </w:rPr>
        <w:t>LSIs</w:t>
      </w:r>
    </w:p>
    <w:p w14:paraId="319D9D8E" w14:textId="77777777" w:rsidR="00E33DC8" w:rsidRPr="008001CC" w:rsidRDefault="00E33DC8" w:rsidP="00E33DC8">
      <w:pPr>
        <w:numPr>
          <w:ilvl w:val="1"/>
          <w:numId w:val="24"/>
        </w:numPr>
        <w:shd w:val="clear" w:color="auto" w:fill="FFFFFF"/>
        <w:spacing w:after="0"/>
        <w:ind w:left="2250"/>
        <w:textAlignment w:val="baseline"/>
        <w:divId w:val="495730783"/>
        <w:rPr>
          <w:rFonts w:ascii="inherit" w:hAnsi="inherit"/>
          <w:color w:val="00B050"/>
          <w:sz w:val="27"/>
          <w:szCs w:val="27"/>
        </w:rPr>
      </w:pPr>
      <w:r w:rsidRPr="008001CC">
        <w:rPr>
          <w:rFonts w:ascii="inherit" w:hAnsi="inherit"/>
          <w:color w:val="00B050"/>
          <w:sz w:val="27"/>
          <w:szCs w:val="27"/>
        </w:rPr>
        <w:t>Use primary key or LSIs when strong consistency is desired</w:t>
      </w:r>
    </w:p>
    <w:p w14:paraId="06B2184C" w14:textId="77777777" w:rsidR="00E33DC8" w:rsidRPr="008001CC" w:rsidRDefault="00E33DC8" w:rsidP="00E33DC8">
      <w:pPr>
        <w:numPr>
          <w:ilvl w:val="1"/>
          <w:numId w:val="24"/>
        </w:numPr>
        <w:shd w:val="clear" w:color="auto" w:fill="FFFFFF"/>
        <w:spacing w:after="0"/>
        <w:ind w:left="2250"/>
        <w:textAlignment w:val="baseline"/>
        <w:divId w:val="495730783"/>
        <w:rPr>
          <w:rFonts w:ascii="inherit" w:hAnsi="inherit"/>
          <w:color w:val="00B050"/>
          <w:sz w:val="27"/>
          <w:szCs w:val="27"/>
        </w:rPr>
      </w:pPr>
      <w:r w:rsidRPr="008001CC">
        <w:rPr>
          <w:rFonts w:ascii="inherit" w:hAnsi="inherit"/>
          <w:color w:val="00B050"/>
          <w:sz w:val="27"/>
          <w:szCs w:val="27"/>
        </w:rPr>
        <w:t>Watch for expanding item collections (10 GB size limit!)</w:t>
      </w:r>
    </w:p>
    <w:p w14:paraId="795AC890" w14:textId="77777777" w:rsidR="00E33DC8" w:rsidRDefault="00E33DC8" w:rsidP="00E33DC8">
      <w:pPr>
        <w:numPr>
          <w:ilvl w:val="0"/>
          <w:numId w:val="24"/>
        </w:numPr>
        <w:shd w:val="clear" w:color="auto" w:fill="FFFFFF"/>
        <w:spacing w:after="0"/>
        <w:ind w:left="1125"/>
        <w:textAlignment w:val="baseline"/>
        <w:divId w:val="495730783"/>
        <w:rPr>
          <w:rFonts w:ascii="inherit" w:hAnsi="inherit"/>
          <w:color w:val="666666"/>
          <w:sz w:val="27"/>
          <w:szCs w:val="27"/>
        </w:rPr>
      </w:pPr>
      <w:r>
        <w:rPr>
          <w:rFonts w:ascii="inherit" w:hAnsi="inherit"/>
          <w:color w:val="666666"/>
          <w:sz w:val="27"/>
          <w:szCs w:val="27"/>
        </w:rPr>
        <w:t>GSIs</w:t>
      </w:r>
    </w:p>
    <w:p w14:paraId="2ACD3BEB" w14:textId="77777777" w:rsidR="00E33DC8" w:rsidRDefault="00E33DC8" w:rsidP="00E33DC8">
      <w:pPr>
        <w:numPr>
          <w:ilvl w:val="1"/>
          <w:numId w:val="24"/>
        </w:numPr>
        <w:shd w:val="clear" w:color="auto" w:fill="FFFFFF"/>
        <w:spacing w:after="0"/>
        <w:ind w:left="2250"/>
        <w:textAlignment w:val="baseline"/>
        <w:divId w:val="495730783"/>
        <w:rPr>
          <w:rFonts w:ascii="inherit" w:hAnsi="inherit"/>
          <w:color w:val="666666"/>
          <w:sz w:val="27"/>
          <w:szCs w:val="27"/>
        </w:rPr>
      </w:pPr>
      <w:r>
        <w:rPr>
          <w:rFonts w:ascii="inherit" w:hAnsi="inherit"/>
          <w:color w:val="666666"/>
          <w:sz w:val="27"/>
          <w:szCs w:val="27"/>
        </w:rPr>
        <w:t>Use GSIs for finer control over throughput or when your application needs to query using a different partition key</w:t>
      </w:r>
    </w:p>
    <w:p w14:paraId="1E8066BD" w14:textId="77777777" w:rsidR="00E33DC8" w:rsidRDefault="00E33DC8" w:rsidP="00E33DC8">
      <w:pPr>
        <w:numPr>
          <w:ilvl w:val="1"/>
          <w:numId w:val="24"/>
        </w:numPr>
        <w:shd w:val="clear" w:color="auto" w:fill="FFFFFF"/>
        <w:spacing w:after="0"/>
        <w:ind w:left="2250"/>
        <w:textAlignment w:val="baseline"/>
        <w:divId w:val="495730783"/>
        <w:rPr>
          <w:rFonts w:ascii="inherit" w:hAnsi="inherit"/>
          <w:color w:val="666666"/>
          <w:sz w:val="27"/>
          <w:szCs w:val="27"/>
        </w:rPr>
      </w:pPr>
      <w:r>
        <w:rPr>
          <w:rFonts w:ascii="inherit" w:hAnsi="inherit"/>
          <w:color w:val="666666"/>
          <w:sz w:val="27"/>
          <w:szCs w:val="27"/>
        </w:rPr>
        <w:t xml:space="preserve">Can be used for eventually consistent read replicas – set up a global secondary index that has the same key schema as the parent table, with some or </w:t>
      </w:r>
      <w:proofErr w:type="gramStart"/>
      <w:r>
        <w:rPr>
          <w:rFonts w:ascii="inherit" w:hAnsi="inherit"/>
          <w:color w:val="666666"/>
          <w:sz w:val="27"/>
          <w:szCs w:val="27"/>
        </w:rPr>
        <w:t>all of</w:t>
      </w:r>
      <w:proofErr w:type="gramEnd"/>
      <w:r>
        <w:rPr>
          <w:rFonts w:ascii="inherit" w:hAnsi="inherit"/>
          <w:color w:val="666666"/>
          <w:sz w:val="27"/>
          <w:szCs w:val="27"/>
        </w:rPr>
        <w:t xml:space="preserve"> the non-key attributes projected into it.</w:t>
      </w:r>
    </w:p>
    <w:p w14:paraId="3EF21543" w14:textId="77777777" w:rsidR="00E33DC8" w:rsidRDefault="00E33DC8" w:rsidP="00E33DC8">
      <w:pPr>
        <w:numPr>
          <w:ilvl w:val="0"/>
          <w:numId w:val="24"/>
        </w:numPr>
        <w:shd w:val="clear" w:color="auto" w:fill="FFFFFF"/>
        <w:spacing w:after="0"/>
        <w:ind w:left="1125"/>
        <w:textAlignment w:val="baseline"/>
        <w:divId w:val="495730783"/>
        <w:rPr>
          <w:rFonts w:ascii="inherit" w:hAnsi="inherit"/>
          <w:color w:val="666666"/>
          <w:sz w:val="27"/>
          <w:szCs w:val="27"/>
        </w:rPr>
      </w:pPr>
      <w:r>
        <w:rPr>
          <w:rStyle w:val="Strong"/>
          <w:rFonts w:ascii="inherit" w:hAnsi="inherit"/>
          <w:color w:val="666666"/>
          <w:sz w:val="27"/>
          <w:szCs w:val="27"/>
          <w:bdr w:val="none" w:sz="0" w:space="0" w:color="auto" w:frame="1"/>
        </w:rPr>
        <w:t>Project fewer attributes</w:t>
      </w:r>
      <w:r>
        <w:rPr>
          <w:rFonts w:ascii="inherit" w:hAnsi="inherit"/>
          <w:color w:val="666666"/>
          <w:sz w:val="27"/>
          <w:szCs w:val="27"/>
        </w:rPr>
        <w:t> – As secondary indexes consume storage and provisioned throughput, keep the size of the index as small as possible. as it would provide greater performance.</w:t>
      </w:r>
    </w:p>
    <w:p w14:paraId="68267272" w14:textId="77777777" w:rsidR="00E33DC8" w:rsidRDefault="00E33DC8" w:rsidP="00E33DC8">
      <w:pPr>
        <w:numPr>
          <w:ilvl w:val="0"/>
          <w:numId w:val="24"/>
        </w:numPr>
        <w:shd w:val="clear" w:color="auto" w:fill="FFFFFF"/>
        <w:spacing w:after="0"/>
        <w:ind w:left="1125"/>
        <w:textAlignment w:val="baseline"/>
        <w:divId w:val="495730783"/>
        <w:rPr>
          <w:rFonts w:ascii="inherit" w:hAnsi="inherit"/>
          <w:color w:val="666666"/>
          <w:sz w:val="27"/>
          <w:szCs w:val="27"/>
        </w:rPr>
      </w:pPr>
      <w:r>
        <w:rPr>
          <w:rFonts w:ascii="inherit" w:hAnsi="inherit"/>
          <w:b/>
          <w:bCs/>
          <w:color w:val="666666"/>
          <w:sz w:val="27"/>
          <w:szCs w:val="27"/>
        </w:rPr>
        <w:t>Keep the number of indexes to a minimum – </w:t>
      </w:r>
      <w:r>
        <w:rPr>
          <w:rFonts w:ascii="inherit" w:hAnsi="inherit"/>
          <w:color w:val="666666"/>
          <w:sz w:val="27"/>
          <w:szCs w:val="27"/>
        </w:rPr>
        <w:t>don’t create secondary indexes on attributes that aren’t queried often. Indexes that are seldom used contribute to increased storage and I/O costs without improving application performance.</w:t>
      </w:r>
    </w:p>
    <w:p w14:paraId="260167B7" w14:textId="77777777" w:rsidR="00E33DC8" w:rsidRDefault="00E33DC8">
      <w:pPr>
        <w:pStyle w:val="Heading2"/>
        <w:shd w:val="clear" w:color="auto" w:fill="FFFFFF"/>
        <w:spacing w:before="0"/>
        <w:textAlignment w:val="baseline"/>
        <w:divId w:val="495730783"/>
        <w:rPr>
          <w:rFonts w:ascii="Georgia" w:hAnsi="Georgia"/>
          <w:b w:val="0"/>
          <w:bCs w:val="0"/>
          <w:color w:val="666666"/>
          <w:sz w:val="42"/>
          <w:szCs w:val="42"/>
        </w:rPr>
      </w:pPr>
      <w:r>
        <w:rPr>
          <w:rFonts w:ascii="inherit" w:hAnsi="inherit"/>
          <w:b w:val="0"/>
          <w:bCs w:val="0"/>
          <w:color w:val="666666"/>
          <w:sz w:val="42"/>
          <w:szCs w:val="42"/>
          <w:bdr w:val="none" w:sz="0" w:space="0" w:color="auto" w:frame="1"/>
        </w:rPr>
        <w:t>Large Items and Attributes</w:t>
      </w:r>
    </w:p>
    <w:p w14:paraId="1EF4AB54" w14:textId="77777777" w:rsidR="00E33DC8" w:rsidRDefault="00E33DC8" w:rsidP="00E33DC8">
      <w:pPr>
        <w:numPr>
          <w:ilvl w:val="0"/>
          <w:numId w:val="25"/>
        </w:numPr>
        <w:shd w:val="clear" w:color="auto" w:fill="FFFFFF"/>
        <w:spacing w:after="0"/>
        <w:ind w:left="1125"/>
        <w:textAlignment w:val="baseline"/>
        <w:divId w:val="495730783"/>
        <w:rPr>
          <w:rFonts w:ascii="inherit" w:hAnsi="inherit"/>
          <w:color w:val="666666"/>
          <w:sz w:val="27"/>
          <w:szCs w:val="27"/>
        </w:rPr>
      </w:pPr>
      <w:r>
        <w:rPr>
          <w:rFonts w:ascii="inherit" w:hAnsi="inherit"/>
          <w:color w:val="666666"/>
          <w:sz w:val="27"/>
          <w:szCs w:val="27"/>
        </w:rPr>
        <w:t>DynamoDB currently limits the size of each item that is stored in a table</w:t>
      </w:r>
    </w:p>
    <w:p w14:paraId="2B5D72CF" w14:textId="77777777" w:rsidR="00E33DC8" w:rsidRDefault="00E33DC8" w:rsidP="00E33DC8">
      <w:pPr>
        <w:numPr>
          <w:ilvl w:val="0"/>
          <w:numId w:val="25"/>
        </w:numPr>
        <w:shd w:val="clear" w:color="auto" w:fill="FFFFFF"/>
        <w:spacing w:after="0"/>
        <w:ind w:left="1125"/>
        <w:textAlignment w:val="baseline"/>
        <w:divId w:val="495730783"/>
        <w:rPr>
          <w:rFonts w:ascii="inherit" w:hAnsi="inherit"/>
          <w:color w:val="666666"/>
          <w:sz w:val="27"/>
          <w:szCs w:val="27"/>
        </w:rPr>
      </w:pPr>
      <w:r>
        <w:rPr>
          <w:rFonts w:ascii="inherit" w:hAnsi="inherit"/>
          <w:color w:val="666666"/>
          <w:sz w:val="27"/>
          <w:szCs w:val="27"/>
        </w:rPr>
        <w:t>Use shorter (yet intuitive!) attribute names</w:t>
      </w:r>
    </w:p>
    <w:p w14:paraId="3B0A3901" w14:textId="77777777" w:rsidR="00E33DC8" w:rsidRDefault="00E33DC8" w:rsidP="00E33DC8">
      <w:pPr>
        <w:numPr>
          <w:ilvl w:val="0"/>
          <w:numId w:val="25"/>
        </w:numPr>
        <w:shd w:val="clear" w:color="auto" w:fill="FFFFFF"/>
        <w:spacing w:after="0"/>
        <w:ind w:left="1125"/>
        <w:textAlignment w:val="baseline"/>
        <w:divId w:val="495730783"/>
        <w:rPr>
          <w:rFonts w:ascii="inherit" w:hAnsi="inherit"/>
          <w:color w:val="666666"/>
          <w:sz w:val="27"/>
          <w:szCs w:val="27"/>
        </w:rPr>
      </w:pPr>
      <w:r>
        <w:rPr>
          <w:rFonts w:ascii="inherit" w:hAnsi="inherit"/>
          <w:color w:val="666666"/>
          <w:sz w:val="27"/>
          <w:szCs w:val="27"/>
        </w:rPr>
        <w:t>Keep item size small</w:t>
      </w:r>
    </w:p>
    <w:p w14:paraId="1239B1FC" w14:textId="77777777" w:rsidR="00E33DC8" w:rsidRDefault="00E33DC8" w:rsidP="00E33DC8">
      <w:pPr>
        <w:numPr>
          <w:ilvl w:val="0"/>
          <w:numId w:val="25"/>
        </w:numPr>
        <w:shd w:val="clear" w:color="auto" w:fill="FFFFFF"/>
        <w:spacing w:after="0"/>
        <w:ind w:left="1125"/>
        <w:textAlignment w:val="baseline"/>
        <w:divId w:val="495730783"/>
        <w:rPr>
          <w:rFonts w:ascii="inherit" w:hAnsi="inherit"/>
          <w:color w:val="666666"/>
          <w:sz w:val="27"/>
          <w:szCs w:val="27"/>
        </w:rPr>
      </w:pPr>
      <w:r>
        <w:rPr>
          <w:rFonts w:ascii="inherit" w:hAnsi="inherit"/>
          <w:color w:val="666666"/>
          <w:sz w:val="27"/>
          <w:szCs w:val="27"/>
        </w:rPr>
        <w:t>Use compression (GZIP)</w:t>
      </w:r>
    </w:p>
    <w:p w14:paraId="4A6DC320" w14:textId="77777777" w:rsidR="00E33DC8" w:rsidRDefault="00E33DC8" w:rsidP="00E33DC8">
      <w:pPr>
        <w:numPr>
          <w:ilvl w:val="0"/>
          <w:numId w:val="25"/>
        </w:numPr>
        <w:shd w:val="clear" w:color="auto" w:fill="FFFFFF"/>
        <w:spacing w:after="0"/>
        <w:ind w:left="1125"/>
        <w:textAlignment w:val="baseline"/>
        <w:divId w:val="495730783"/>
        <w:rPr>
          <w:rFonts w:ascii="inherit" w:hAnsi="inherit"/>
          <w:color w:val="666666"/>
          <w:sz w:val="27"/>
          <w:szCs w:val="27"/>
        </w:rPr>
      </w:pPr>
      <w:r>
        <w:rPr>
          <w:rFonts w:ascii="inherit" w:hAnsi="inherit"/>
          <w:color w:val="666666"/>
          <w:sz w:val="27"/>
          <w:szCs w:val="27"/>
        </w:rPr>
        <w:t>Split large attributes across multiple items</w:t>
      </w:r>
    </w:p>
    <w:p w14:paraId="6FE36D67" w14:textId="77777777" w:rsidR="00E33DC8" w:rsidRDefault="00E33DC8" w:rsidP="00E33DC8">
      <w:pPr>
        <w:numPr>
          <w:ilvl w:val="0"/>
          <w:numId w:val="25"/>
        </w:numPr>
        <w:shd w:val="clear" w:color="auto" w:fill="FFFFFF"/>
        <w:spacing w:after="0"/>
        <w:ind w:left="1125"/>
        <w:textAlignment w:val="baseline"/>
        <w:divId w:val="495730783"/>
        <w:rPr>
          <w:rFonts w:ascii="inherit" w:hAnsi="inherit"/>
          <w:color w:val="666666"/>
          <w:sz w:val="27"/>
          <w:szCs w:val="27"/>
        </w:rPr>
      </w:pPr>
      <w:r>
        <w:rPr>
          <w:rFonts w:ascii="inherit" w:hAnsi="inherit"/>
          <w:color w:val="666666"/>
          <w:sz w:val="27"/>
          <w:szCs w:val="27"/>
        </w:rPr>
        <w:t>Store metadata in DynamoDB and large BLOBs or attributes in S3</w:t>
      </w:r>
    </w:p>
    <w:p w14:paraId="02E8ECE7" w14:textId="77777777" w:rsidR="00E33DC8" w:rsidRDefault="00E33DC8">
      <w:pPr>
        <w:pStyle w:val="Heading1"/>
        <w:shd w:val="clear" w:color="auto" w:fill="FFFFFF"/>
        <w:spacing w:before="0"/>
        <w:textAlignment w:val="baseline"/>
        <w:divId w:val="495730783"/>
        <w:rPr>
          <w:rFonts w:ascii="Georgia" w:hAnsi="Georgia"/>
          <w:b w:val="0"/>
          <w:bCs w:val="0"/>
          <w:color w:val="666666"/>
          <w:sz w:val="48"/>
          <w:szCs w:val="48"/>
        </w:rPr>
      </w:pPr>
      <w:r>
        <w:rPr>
          <w:rFonts w:ascii="inherit" w:hAnsi="inherit"/>
          <w:b w:val="0"/>
          <w:bCs w:val="0"/>
          <w:color w:val="666666"/>
          <w:bdr w:val="none" w:sz="0" w:space="0" w:color="auto" w:frame="1"/>
        </w:rPr>
        <w:t>Querying and Scanning Data</w:t>
      </w:r>
    </w:p>
    <w:p w14:paraId="3CD4FD5C" w14:textId="77777777" w:rsidR="00E33DC8" w:rsidRDefault="00E33DC8" w:rsidP="00E33DC8">
      <w:pPr>
        <w:numPr>
          <w:ilvl w:val="0"/>
          <w:numId w:val="26"/>
        </w:numPr>
        <w:shd w:val="clear" w:color="auto" w:fill="FFFFFF"/>
        <w:spacing w:after="0"/>
        <w:ind w:left="1125"/>
        <w:textAlignment w:val="baseline"/>
        <w:divId w:val="495730783"/>
        <w:rPr>
          <w:rFonts w:ascii="inherit" w:hAnsi="inherit"/>
          <w:color w:val="666666"/>
          <w:sz w:val="27"/>
          <w:szCs w:val="27"/>
        </w:rPr>
      </w:pPr>
      <w:r>
        <w:rPr>
          <w:rFonts w:ascii="inherit" w:hAnsi="inherit"/>
          <w:color w:val="666666"/>
          <w:sz w:val="27"/>
          <w:szCs w:val="27"/>
        </w:rPr>
        <w:t>Avoid scans and filters – Scan operations are less efficient than other operations in DynamoDB. A Scan operation always scans the entire table or secondary index. It then filters out values to provide the result, essentially adding the extra step of removing data from the result set.</w:t>
      </w:r>
    </w:p>
    <w:p w14:paraId="5208890A" w14:textId="77777777" w:rsidR="00E33DC8" w:rsidRDefault="00E33DC8" w:rsidP="00E33DC8">
      <w:pPr>
        <w:numPr>
          <w:ilvl w:val="0"/>
          <w:numId w:val="26"/>
        </w:numPr>
        <w:shd w:val="clear" w:color="auto" w:fill="FFFFFF"/>
        <w:spacing w:after="0"/>
        <w:ind w:left="1125"/>
        <w:textAlignment w:val="baseline"/>
        <w:divId w:val="495730783"/>
        <w:rPr>
          <w:rFonts w:ascii="inherit" w:hAnsi="inherit"/>
          <w:color w:val="666666"/>
          <w:sz w:val="27"/>
          <w:szCs w:val="27"/>
        </w:rPr>
      </w:pPr>
      <w:r>
        <w:rPr>
          <w:rFonts w:ascii="inherit" w:hAnsi="inherit"/>
          <w:color w:val="666666"/>
          <w:sz w:val="27"/>
          <w:szCs w:val="27"/>
        </w:rPr>
        <w:t>Use eventual consistency for reads</w:t>
      </w:r>
    </w:p>
    <w:p w14:paraId="2C7E3494" w14:textId="77777777" w:rsidR="00E33DC8" w:rsidRDefault="00E33DC8">
      <w:pPr>
        <w:pStyle w:val="Heading1"/>
        <w:shd w:val="clear" w:color="auto" w:fill="FFFFFF"/>
        <w:spacing w:before="0"/>
        <w:textAlignment w:val="baseline"/>
        <w:divId w:val="495730783"/>
        <w:rPr>
          <w:rFonts w:ascii="Georgia" w:hAnsi="Georgia"/>
          <w:b w:val="0"/>
          <w:bCs w:val="0"/>
          <w:color w:val="666666"/>
          <w:sz w:val="48"/>
          <w:szCs w:val="48"/>
        </w:rPr>
      </w:pPr>
      <w:r>
        <w:rPr>
          <w:rFonts w:ascii="inherit" w:hAnsi="inherit"/>
          <w:b w:val="0"/>
          <w:bCs w:val="0"/>
          <w:color w:val="666666"/>
          <w:bdr w:val="none" w:sz="0" w:space="0" w:color="auto" w:frame="1"/>
        </w:rPr>
        <w:t>Time Series Data</w:t>
      </w:r>
    </w:p>
    <w:p w14:paraId="00B3D37B" w14:textId="77777777" w:rsidR="00E33DC8" w:rsidRDefault="00E33DC8" w:rsidP="00E33DC8">
      <w:pPr>
        <w:numPr>
          <w:ilvl w:val="0"/>
          <w:numId w:val="27"/>
        </w:numPr>
        <w:shd w:val="clear" w:color="auto" w:fill="FFFFFF"/>
        <w:spacing w:after="0"/>
        <w:ind w:left="1125"/>
        <w:textAlignment w:val="baseline"/>
        <w:divId w:val="495730783"/>
        <w:rPr>
          <w:rFonts w:ascii="inherit" w:hAnsi="inherit"/>
          <w:color w:val="666666"/>
          <w:sz w:val="27"/>
          <w:szCs w:val="27"/>
        </w:rPr>
      </w:pPr>
      <w:r>
        <w:rPr>
          <w:rFonts w:ascii="inherit" w:hAnsi="inherit"/>
          <w:color w:val="666666"/>
          <w:sz w:val="27"/>
          <w:szCs w:val="27"/>
        </w:rPr>
        <w:t xml:space="preserve">Use table per day, week, month </w:t>
      </w:r>
      <w:proofErr w:type="spellStart"/>
      <w:r>
        <w:rPr>
          <w:rFonts w:ascii="inherit" w:hAnsi="inherit"/>
          <w:color w:val="666666"/>
          <w:sz w:val="27"/>
          <w:szCs w:val="27"/>
        </w:rPr>
        <w:t>etc</w:t>
      </w:r>
      <w:proofErr w:type="spellEnd"/>
      <w:r>
        <w:rPr>
          <w:rFonts w:ascii="inherit" w:hAnsi="inherit"/>
          <w:color w:val="666666"/>
          <w:sz w:val="27"/>
          <w:szCs w:val="27"/>
        </w:rPr>
        <w:t xml:space="preserve"> for storing time series data – create one table per period, provisioned with the required read and write capacity and the required indexes.</w:t>
      </w:r>
    </w:p>
    <w:p w14:paraId="0DC4D4A0" w14:textId="77777777" w:rsidR="00E33DC8" w:rsidRDefault="00E33DC8" w:rsidP="00E33DC8">
      <w:pPr>
        <w:pStyle w:val="listitem"/>
        <w:numPr>
          <w:ilvl w:val="0"/>
          <w:numId w:val="27"/>
        </w:numPr>
        <w:shd w:val="clear" w:color="auto" w:fill="FFFFFF"/>
        <w:spacing w:before="0" w:beforeAutospacing="0" w:after="0" w:afterAutospacing="0"/>
        <w:ind w:left="1125"/>
        <w:textAlignment w:val="baseline"/>
        <w:divId w:val="495730783"/>
        <w:rPr>
          <w:rFonts w:ascii="inherit" w:hAnsi="inherit"/>
          <w:color w:val="666666"/>
          <w:sz w:val="27"/>
          <w:szCs w:val="27"/>
        </w:rPr>
      </w:pPr>
      <w:r>
        <w:rPr>
          <w:rFonts w:ascii="inherit" w:hAnsi="inherit"/>
          <w:color w:val="666666"/>
          <w:sz w:val="27"/>
          <w:szCs w:val="27"/>
        </w:rPr>
        <w:t>Before the end of each period, prebuild the table for the next period. Just as the current period ends, direct event traffic to the new table. Assign names to the tables that specify the periods they have recorded.</w:t>
      </w:r>
    </w:p>
    <w:p w14:paraId="531DC7C8" w14:textId="77777777" w:rsidR="00E33DC8" w:rsidRDefault="00E33DC8" w:rsidP="00E33DC8">
      <w:pPr>
        <w:pStyle w:val="listitem"/>
        <w:numPr>
          <w:ilvl w:val="0"/>
          <w:numId w:val="27"/>
        </w:numPr>
        <w:shd w:val="clear" w:color="auto" w:fill="FFFFFF"/>
        <w:spacing w:before="0" w:beforeAutospacing="0" w:after="0" w:afterAutospacing="0"/>
        <w:ind w:left="1125"/>
        <w:textAlignment w:val="baseline"/>
        <w:divId w:val="495730783"/>
        <w:rPr>
          <w:rFonts w:ascii="inherit" w:hAnsi="inherit"/>
          <w:color w:val="666666"/>
          <w:sz w:val="27"/>
          <w:szCs w:val="27"/>
        </w:rPr>
      </w:pPr>
      <w:r>
        <w:rPr>
          <w:rFonts w:ascii="inherit" w:hAnsi="inherit"/>
          <w:color w:val="666666"/>
          <w:sz w:val="27"/>
          <w:szCs w:val="27"/>
        </w:rPr>
        <w:t>As soon as a table is no longer being written to, reduce its provisioned write capacity to a lower value (for example, 1 WCU), and provision whatever read capacity is appropriate. Reduce the provisioned read capacity of earlier tables as they age. Archive or delete the tables whose contents are rarely or never needed.</w:t>
      </w:r>
    </w:p>
    <w:p w14:paraId="2AACE995" w14:textId="388617D7" w:rsidR="000D782C" w:rsidRDefault="000D782C">
      <w:pPr>
        <w:pStyle w:val="Heading1"/>
        <w:shd w:val="clear" w:color="auto" w:fill="FFFFFF"/>
        <w:spacing w:before="0"/>
        <w:textAlignment w:val="baseline"/>
        <w:divId w:val="705835624"/>
      </w:pPr>
    </w:p>
    <w:sectPr w:rsidR="000D78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58F1"/>
    <w:multiLevelType w:val="multilevel"/>
    <w:tmpl w:val="D1DC6B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C42DE"/>
    <w:multiLevelType w:val="multilevel"/>
    <w:tmpl w:val="0B2CF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F3440"/>
    <w:multiLevelType w:val="multilevel"/>
    <w:tmpl w:val="65E4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1378A"/>
    <w:multiLevelType w:val="multilevel"/>
    <w:tmpl w:val="B17A47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D6F1D"/>
    <w:multiLevelType w:val="multilevel"/>
    <w:tmpl w:val="1770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6A79FD"/>
    <w:multiLevelType w:val="multilevel"/>
    <w:tmpl w:val="7A90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CA49B4"/>
    <w:multiLevelType w:val="multilevel"/>
    <w:tmpl w:val="A04E7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013318"/>
    <w:multiLevelType w:val="multilevel"/>
    <w:tmpl w:val="B5D4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F365EE"/>
    <w:multiLevelType w:val="multilevel"/>
    <w:tmpl w:val="4FC24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337942"/>
    <w:multiLevelType w:val="multilevel"/>
    <w:tmpl w:val="3984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1E3679"/>
    <w:multiLevelType w:val="multilevel"/>
    <w:tmpl w:val="1E3EA1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252DAC"/>
    <w:multiLevelType w:val="multilevel"/>
    <w:tmpl w:val="95B25F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590A0A"/>
    <w:multiLevelType w:val="multilevel"/>
    <w:tmpl w:val="BF44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5665C1"/>
    <w:multiLevelType w:val="multilevel"/>
    <w:tmpl w:val="F6D63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4770C8"/>
    <w:multiLevelType w:val="multilevel"/>
    <w:tmpl w:val="E82E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4D1682"/>
    <w:multiLevelType w:val="multilevel"/>
    <w:tmpl w:val="40EE71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D03A99"/>
    <w:multiLevelType w:val="multilevel"/>
    <w:tmpl w:val="872C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4002C4"/>
    <w:multiLevelType w:val="multilevel"/>
    <w:tmpl w:val="7C844B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6F052C"/>
    <w:multiLevelType w:val="multilevel"/>
    <w:tmpl w:val="4ADA1B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1C7C86"/>
    <w:multiLevelType w:val="multilevel"/>
    <w:tmpl w:val="F4C24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CE33DB"/>
    <w:multiLevelType w:val="multilevel"/>
    <w:tmpl w:val="4292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BB14C4"/>
    <w:multiLevelType w:val="multilevel"/>
    <w:tmpl w:val="9BEAF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26357C"/>
    <w:multiLevelType w:val="multilevel"/>
    <w:tmpl w:val="1CC2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BF5F9F"/>
    <w:multiLevelType w:val="multilevel"/>
    <w:tmpl w:val="3FE6A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C41040"/>
    <w:multiLevelType w:val="multilevel"/>
    <w:tmpl w:val="1AE0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C61793"/>
    <w:multiLevelType w:val="multilevel"/>
    <w:tmpl w:val="2B34C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09034A"/>
    <w:multiLevelType w:val="multilevel"/>
    <w:tmpl w:val="C358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5"/>
  </w:num>
  <w:num w:numId="3">
    <w:abstractNumId w:val="8"/>
  </w:num>
  <w:num w:numId="4">
    <w:abstractNumId w:val="9"/>
  </w:num>
  <w:num w:numId="5">
    <w:abstractNumId w:val="24"/>
  </w:num>
  <w:num w:numId="6">
    <w:abstractNumId w:val="7"/>
  </w:num>
  <w:num w:numId="7">
    <w:abstractNumId w:val="6"/>
  </w:num>
  <w:num w:numId="8">
    <w:abstractNumId w:val="5"/>
  </w:num>
  <w:num w:numId="9">
    <w:abstractNumId w:val="3"/>
  </w:num>
  <w:num w:numId="10">
    <w:abstractNumId w:val="18"/>
  </w:num>
  <w:num w:numId="11">
    <w:abstractNumId w:val="13"/>
  </w:num>
  <w:num w:numId="12">
    <w:abstractNumId w:val="17"/>
  </w:num>
  <w:num w:numId="13">
    <w:abstractNumId w:val="16"/>
  </w:num>
  <w:num w:numId="14">
    <w:abstractNumId w:val="15"/>
  </w:num>
  <w:num w:numId="15">
    <w:abstractNumId w:val="21"/>
  </w:num>
  <w:num w:numId="16">
    <w:abstractNumId w:val="19"/>
  </w:num>
  <w:num w:numId="17">
    <w:abstractNumId w:val="26"/>
  </w:num>
  <w:num w:numId="18">
    <w:abstractNumId w:val="23"/>
  </w:num>
  <w:num w:numId="19">
    <w:abstractNumId w:val="0"/>
  </w:num>
  <w:num w:numId="20">
    <w:abstractNumId w:val="12"/>
  </w:num>
  <w:num w:numId="21">
    <w:abstractNumId w:val="4"/>
  </w:num>
  <w:num w:numId="22">
    <w:abstractNumId w:val="10"/>
  </w:num>
  <w:num w:numId="23">
    <w:abstractNumId w:val="22"/>
  </w:num>
  <w:num w:numId="24">
    <w:abstractNumId w:val="11"/>
  </w:num>
  <w:num w:numId="25">
    <w:abstractNumId w:val="20"/>
  </w:num>
  <w:num w:numId="26">
    <w:abstractNumId w:val="14"/>
  </w:num>
  <w:num w:numId="2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4604B"/>
    <w:rsid w:val="000D0605"/>
    <w:rsid w:val="000D782C"/>
    <w:rsid w:val="000E6C3D"/>
    <w:rsid w:val="00124844"/>
    <w:rsid w:val="00124C59"/>
    <w:rsid w:val="001348DF"/>
    <w:rsid w:val="001C63B3"/>
    <w:rsid w:val="001F0C07"/>
    <w:rsid w:val="00230A98"/>
    <w:rsid w:val="00232ECB"/>
    <w:rsid w:val="00237DB6"/>
    <w:rsid w:val="00275C8E"/>
    <w:rsid w:val="002918E9"/>
    <w:rsid w:val="002B053B"/>
    <w:rsid w:val="002F7B94"/>
    <w:rsid w:val="003961B3"/>
    <w:rsid w:val="003B4AE7"/>
    <w:rsid w:val="0058385C"/>
    <w:rsid w:val="00592985"/>
    <w:rsid w:val="00593CDC"/>
    <w:rsid w:val="005C3A46"/>
    <w:rsid w:val="005F4B25"/>
    <w:rsid w:val="0062673C"/>
    <w:rsid w:val="0064329A"/>
    <w:rsid w:val="006453F2"/>
    <w:rsid w:val="00692F46"/>
    <w:rsid w:val="007372F8"/>
    <w:rsid w:val="007821AF"/>
    <w:rsid w:val="00793317"/>
    <w:rsid w:val="007C727C"/>
    <w:rsid w:val="007F11CE"/>
    <w:rsid w:val="007F5ED3"/>
    <w:rsid w:val="008001CC"/>
    <w:rsid w:val="008C3A6F"/>
    <w:rsid w:val="008F32E9"/>
    <w:rsid w:val="0093307A"/>
    <w:rsid w:val="00941812"/>
    <w:rsid w:val="00950A94"/>
    <w:rsid w:val="009623B2"/>
    <w:rsid w:val="009874C5"/>
    <w:rsid w:val="009B70BC"/>
    <w:rsid w:val="009D4044"/>
    <w:rsid w:val="009E357D"/>
    <w:rsid w:val="009F2635"/>
    <w:rsid w:val="00A03027"/>
    <w:rsid w:val="00A31AF8"/>
    <w:rsid w:val="00A36A25"/>
    <w:rsid w:val="00A627B0"/>
    <w:rsid w:val="00A83545"/>
    <w:rsid w:val="00A92E31"/>
    <w:rsid w:val="00AA1458"/>
    <w:rsid w:val="00AE5E75"/>
    <w:rsid w:val="00AF3549"/>
    <w:rsid w:val="00B557E5"/>
    <w:rsid w:val="00B8391A"/>
    <w:rsid w:val="00B96B39"/>
    <w:rsid w:val="00BA13F6"/>
    <w:rsid w:val="00BE2382"/>
    <w:rsid w:val="00C41DF3"/>
    <w:rsid w:val="00CC693A"/>
    <w:rsid w:val="00CD0ADF"/>
    <w:rsid w:val="00D35F3C"/>
    <w:rsid w:val="00D7040B"/>
    <w:rsid w:val="00D82390"/>
    <w:rsid w:val="00D84977"/>
    <w:rsid w:val="00D84D1D"/>
    <w:rsid w:val="00DA1598"/>
    <w:rsid w:val="00DC7DB9"/>
    <w:rsid w:val="00DF2E7A"/>
    <w:rsid w:val="00DF7F52"/>
    <w:rsid w:val="00E129A0"/>
    <w:rsid w:val="00E23A67"/>
    <w:rsid w:val="00E33DC8"/>
    <w:rsid w:val="00E37075"/>
    <w:rsid w:val="00E67062"/>
    <w:rsid w:val="00E947D7"/>
    <w:rsid w:val="00ED383C"/>
    <w:rsid w:val="00F13854"/>
    <w:rsid w:val="00F26493"/>
    <w:rsid w:val="00F4276D"/>
    <w:rsid w:val="00F72434"/>
    <w:rsid w:val="00FC00D3"/>
    <w:rsid w:val="00FC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 w:type="character" w:customStyle="1" w:styleId="s2">
    <w:name w:val="s2"/>
    <w:basedOn w:val="DefaultParagraphFont"/>
    <w:rsid w:val="00237DB6"/>
  </w:style>
  <w:style w:type="character" w:styleId="UnresolvedMention">
    <w:name w:val="Unresolved Mention"/>
    <w:basedOn w:val="DefaultParagraphFont"/>
    <w:uiPriority w:val="99"/>
    <w:semiHidden/>
    <w:rsid w:val="00FC7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667176770">
          <w:marLeft w:val="0"/>
          <w:marRight w:val="0"/>
          <w:marTop w:val="0"/>
          <w:marBottom w:val="0"/>
          <w:divBdr>
            <w:top w:val="none" w:sz="0" w:space="0" w:color="auto"/>
            <w:left w:val="none" w:sz="0" w:space="0" w:color="auto"/>
            <w:bottom w:val="none" w:sz="0" w:space="0" w:color="auto"/>
            <w:right w:val="none" w:sz="0" w:space="0" w:color="auto"/>
          </w:divBdr>
          <w:divsChild>
            <w:div w:id="82799500">
              <w:blockQuote w:val="1"/>
              <w:marLeft w:val="0"/>
              <w:marRight w:val="0"/>
              <w:marTop w:val="0"/>
              <w:marBottom w:val="405"/>
              <w:divBdr>
                <w:top w:val="none" w:sz="0" w:space="0" w:color="auto"/>
                <w:left w:val="none" w:sz="0" w:space="0" w:color="auto"/>
                <w:bottom w:val="none" w:sz="0" w:space="0" w:color="auto"/>
                <w:right w:val="none" w:sz="0" w:space="0" w:color="auto"/>
              </w:divBdr>
            </w:div>
            <w:div w:id="1451049452">
              <w:marLeft w:val="0"/>
              <w:marRight w:val="0"/>
              <w:marTop w:val="0"/>
              <w:marBottom w:val="0"/>
              <w:divBdr>
                <w:top w:val="none" w:sz="0" w:space="0" w:color="auto"/>
                <w:left w:val="none" w:sz="0" w:space="0" w:color="auto"/>
                <w:bottom w:val="none" w:sz="0" w:space="0" w:color="auto"/>
                <w:right w:val="none" w:sz="0" w:space="0" w:color="auto"/>
              </w:divBdr>
            </w:div>
            <w:div w:id="2083942090">
              <w:marLeft w:val="0"/>
              <w:marRight w:val="0"/>
              <w:marTop w:val="0"/>
              <w:marBottom w:val="0"/>
              <w:divBdr>
                <w:top w:val="none" w:sz="0" w:space="0" w:color="auto"/>
                <w:left w:val="none" w:sz="0" w:space="0" w:color="auto"/>
                <w:bottom w:val="none" w:sz="0" w:space="0" w:color="auto"/>
                <w:right w:val="none" w:sz="0" w:space="0" w:color="auto"/>
              </w:divBdr>
            </w:div>
            <w:div w:id="989215937">
              <w:marLeft w:val="0"/>
              <w:marRight w:val="0"/>
              <w:marTop w:val="0"/>
              <w:marBottom w:val="0"/>
              <w:divBdr>
                <w:top w:val="none" w:sz="0" w:space="0" w:color="auto"/>
                <w:left w:val="none" w:sz="0" w:space="0" w:color="auto"/>
                <w:bottom w:val="none" w:sz="0" w:space="0" w:color="auto"/>
                <w:right w:val="none" w:sz="0" w:space="0" w:color="auto"/>
              </w:divBdr>
            </w:div>
            <w:div w:id="1577785509">
              <w:marLeft w:val="0"/>
              <w:marRight w:val="0"/>
              <w:marTop w:val="0"/>
              <w:marBottom w:val="0"/>
              <w:divBdr>
                <w:top w:val="none" w:sz="0" w:space="0" w:color="auto"/>
                <w:left w:val="none" w:sz="0" w:space="0" w:color="auto"/>
                <w:bottom w:val="none" w:sz="0" w:space="0" w:color="auto"/>
                <w:right w:val="none" w:sz="0" w:space="0" w:color="auto"/>
              </w:divBdr>
              <w:divsChild>
                <w:div w:id="82354703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849368978">
              <w:marLeft w:val="0"/>
              <w:marRight w:val="0"/>
              <w:marTop w:val="0"/>
              <w:marBottom w:val="0"/>
              <w:divBdr>
                <w:top w:val="none" w:sz="0" w:space="0" w:color="auto"/>
                <w:left w:val="none" w:sz="0" w:space="0" w:color="auto"/>
                <w:bottom w:val="none" w:sz="0" w:space="0" w:color="auto"/>
                <w:right w:val="none" w:sz="0" w:space="0" w:color="auto"/>
              </w:divBdr>
              <w:divsChild>
                <w:div w:id="863010698">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396318630">
              <w:marLeft w:val="0"/>
              <w:marRight w:val="0"/>
              <w:marTop w:val="0"/>
              <w:marBottom w:val="0"/>
              <w:divBdr>
                <w:top w:val="none" w:sz="0" w:space="0" w:color="auto"/>
                <w:left w:val="none" w:sz="0" w:space="0" w:color="auto"/>
                <w:bottom w:val="none" w:sz="0" w:space="0" w:color="auto"/>
                <w:right w:val="none" w:sz="0" w:space="0" w:color="auto"/>
              </w:divBdr>
              <w:divsChild>
                <w:div w:id="184524085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67734827">
              <w:marLeft w:val="0"/>
              <w:marRight w:val="0"/>
              <w:marTop w:val="0"/>
              <w:marBottom w:val="0"/>
              <w:divBdr>
                <w:top w:val="none" w:sz="0" w:space="0" w:color="auto"/>
                <w:left w:val="none" w:sz="0" w:space="0" w:color="auto"/>
                <w:bottom w:val="none" w:sz="0" w:space="0" w:color="auto"/>
                <w:right w:val="none" w:sz="0" w:space="0" w:color="auto"/>
              </w:divBdr>
              <w:divsChild>
                <w:div w:id="18837513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38590319">
              <w:marLeft w:val="0"/>
              <w:marRight w:val="0"/>
              <w:marTop w:val="0"/>
              <w:marBottom w:val="0"/>
              <w:divBdr>
                <w:top w:val="none" w:sz="0" w:space="0" w:color="auto"/>
                <w:left w:val="none" w:sz="0" w:space="0" w:color="auto"/>
                <w:bottom w:val="none" w:sz="0" w:space="0" w:color="auto"/>
                <w:right w:val="none" w:sz="0" w:space="0" w:color="auto"/>
              </w:divBdr>
              <w:divsChild>
                <w:div w:id="852493023">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678920906">
              <w:marLeft w:val="0"/>
              <w:marRight w:val="0"/>
              <w:marTop w:val="0"/>
              <w:marBottom w:val="0"/>
              <w:divBdr>
                <w:top w:val="none" w:sz="0" w:space="0" w:color="auto"/>
                <w:left w:val="none" w:sz="0" w:space="0" w:color="auto"/>
                <w:bottom w:val="none" w:sz="0" w:space="0" w:color="auto"/>
                <w:right w:val="none" w:sz="0" w:space="0" w:color="auto"/>
              </w:divBdr>
              <w:divsChild>
                <w:div w:id="2047219652">
                  <w:blockQuote w:val="1"/>
                  <w:marLeft w:val="0"/>
                  <w:marRight w:val="0"/>
                  <w:marTop w:val="0"/>
                  <w:marBottom w:val="405"/>
                  <w:divBdr>
                    <w:top w:val="none" w:sz="0" w:space="0" w:color="auto"/>
                    <w:left w:val="none" w:sz="0" w:space="0" w:color="auto"/>
                    <w:bottom w:val="none" w:sz="0" w:space="0" w:color="auto"/>
                    <w:right w:val="none" w:sz="0" w:space="0" w:color="auto"/>
                  </w:divBdr>
                </w:div>
                <w:div w:id="1456027147">
                  <w:marLeft w:val="0"/>
                  <w:marRight w:val="0"/>
                  <w:marTop w:val="0"/>
                  <w:marBottom w:val="0"/>
                  <w:divBdr>
                    <w:top w:val="none" w:sz="0" w:space="0" w:color="auto"/>
                    <w:left w:val="none" w:sz="0" w:space="0" w:color="auto"/>
                    <w:bottom w:val="none" w:sz="0" w:space="0" w:color="auto"/>
                    <w:right w:val="none" w:sz="0" w:space="0" w:color="auto"/>
                  </w:divBdr>
                  <w:divsChild>
                    <w:div w:id="1619943800">
                      <w:blockQuote w:val="1"/>
                      <w:marLeft w:val="0"/>
                      <w:marRight w:val="0"/>
                      <w:marTop w:val="0"/>
                      <w:marBottom w:val="405"/>
                      <w:divBdr>
                        <w:top w:val="none" w:sz="0" w:space="0" w:color="auto"/>
                        <w:left w:val="none" w:sz="0" w:space="0" w:color="auto"/>
                        <w:bottom w:val="none" w:sz="0" w:space="0" w:color="auto"/>
                        <w:right w:val="none" w:sz="0" w:space="0" w:color="auto"/>
                      </w:divBdr>
                    </w:div>
                    <w:div w:id="736053561">
                      <w:marLeft w:val="0"/>
                      <w:marRight w:val="0"/>
                      <w:marTop w:val="0"/>
                      <w:marBottom w:val="0"/>
                      <w:divBdr>
                        <w:top w:val="none" w:sz="0" w:space="0" w:color="auto"/>
                        <w:left w:val="none" w:sz="0" w:space="0" w:color="auto"/>
                        <w:bottom w:val="none" w:sz="0" w:space="0" w:color="auto"/>
                        <w:right w:val="none" w:sz="0" w:space="0" w:color="auto"/>
                      </w:divBdr>
                      <w:divsChild>
                        <w:div w:id="134632555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2299355">
                      <w:marLeft w:val="0"/>
                      <w:marRight w:val="0"/>
                      <w:marTop w:val="0"/>
                      <w:marBottom w:val="0"/>
                      <w:divBdr>
                        <w:top w:val="none" w:sz="0" w:space="0" w:color="auto"/>
                        <w:left w:val="none" w:sz="0" w:space="0" w:color="auto"/>
                        <w:bottom w:val="none" w:sz="0" w:space="0" w:color="auto"/>
                        <w:right w:val="none" w:sz="0" w:space="0" w:color="auto"/>
                      </w:divBdr>
                    </w:div>
                    <w:div w:id="1950698545">
                      <w:marLeft w:val="0"/>
                      <w:marRight w:val="0"/>
                      <w:marTop w:val="0"/>
                      <w:marBottom w:val="0"/>
                      <w:divBdr>
                        <w:top w:val="none" w:sz="0" w:space="0" w:color="auto"/>
                        <w:left w:val="none" w:sz="0" w:space="0" w:color="auto"/>
                        <w:bottom w:val="none" w:sz="0" w:space="0" w:color="auto"/>
                        <w:right w:val="none" w:sz="0" w:space="0" w:color="auto"/>
                      </w:divBdr>
                      <w:divsChild>
                        <w:div w:id="105743099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665352353">
                      <w:marLeft w:val="0"/>
                      <w:marRight w:val="0"/>
                      <w:marTop w:val="0"/>
                      <w:marBottom w:val="0"/>
                      <w:divBdr>
                        <w:top w:val="none" w:sz="0" w:space="0" w:color="auto"/>
                        <w:left w:val="none" w:sz="0" w:space="0" w:color="auto"/>
                        <w:bottom w:val="none" w:sz="0" w:space="0" w:color="auto"/>
                        <w:right w:val="none" w:sz="0" w:space="0" w:color="auto"/>
                      </w:divBdr>
                      <w:divsChild>
                        <w:div w:id="98862884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705835624">
                      <w:marLeft w:val="0"/>
                      <w:marRight w:val="0"/>
                      <w:marTop w:val="0"/>
                      <w:marBottom w:val="0"/>
                      <w:divBdr>
                        <w:top w:val="none" w:sz="0" w:space="0" w:color="auto"/>
                        <w:left w:val="none" w:sz="0" w:space="0" w:color="auto"/>
                        <w:bottom w:val="none" w:sz="0" w:space="0" w:color="auto"/>
                        <w:right w:val="none" w:sz="0" w:space="0" w:color="auto"/>
                      </w:divBdr>
                      <w:divsChild>
                        <w:div w:id="97877820">
                          <w:marLeft w:val="0"/>
                          <w:marRight w:val="0"/>
                          <w:marTop w:val="0"/>
                          <w:marBottom w:val="0"/>
                          <w:divBdr>
                            <w:top w:val="none" w:sz="0" w:space="0" w:color="auto"/>
                            <w:left w:val="none" w:sz="0" w:space="0" w:color="auto"/>
                            <w:bottom w:val="none" w:sz="0" w:space="0" w:color="auto"/>
                            <w:right w:val="none" w:sz="0" w:space="0" w:color="auto"/>
                          </w:divBdr>
                        </w:div>
                        <w:div w:id="1907690855">
                          <w:blockQuote w:val="1"/>
                          <w:marLeft w:val="0"/>
                          <w:marRight w:val="0"/>
                          <w:marTop w:val="0"/>
                          <w:marBottom w:val="405"/>
                          <w:divBdr>
                            <w:top w:val="none" w:sz="0" w:space="0" w:color="auto"/>
                            <w:left w:val="none" w:sz="0" w:space="0" w:color="auto"/>
                            <w:bottom w:val="none" w:sz="0" w:space="0" w:color="auto"/>
                            <w:right w:val="none" w:sz="0" w:space="0" w:color="auto"/>
                          </w:divBdr>
                        </w:div>
                        <w:div w:id="4957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44F048F0-E5BC-4465-929F-2BF32125D6BF}"/>
      </w:docPartPr>
      <w:docPartBody>
        <w:p w:rsidR="00DD0607" w:rsidRDefault="005F7CCE">
          <w:r w:rsidRPr="00556260">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247AE5"/>
    <w:rsid w:val="002A5E1D"/>
    <w:rsid w:val="00363B46"/>
    <w:rsid w:val="003811F4"/>
    <w:rsid w:val="00411B71"/>
    <w:rsid w:val="0044312C"/>
    <w:rsid w:val="00475B76"/>
    <w:rsid w:val="004E7F35"/>
    <w:rsid w:val="005F7CCE"/>
    <w:rsid w:val="006342FA"/>
    <w:rsid w:val="00652452"/>
    <w:rsid w:val="006D3E3C"/>
    <w:rsid w:val="006E27B6"/>
    <w:rsid w:val="007F16B8"/>
    <w:rsid w:val="00867654"/>
    <w:rsid w:val="0096724E"/>
    <w:rsid w:val="00AA4CA3"/>
    <w:rsid w:val="00AB0802"/>
    <w:rsid w:val="00AC166B"/>
    <w:rsid w:val="00B91843"/>
    <w:rsid w:val="00BC0B61"/>
    <w:rsid w:val="00DD0607"/>
    <w:rsid w:val="00ED1D86"/>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7C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logPostInfo xmlns="http://www.microsoft.com/Office/Word/BlogTool">
  <PostTitle>AWS DynamoDB Best Practices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Blog post.dotx</Template>
  <TotalTime>2347</TotalTime>
  <Pages>1</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53</cp:revision>
  <dcterms:created xsi:type="dcterms:W3CDTF">2020-11-27T04:06:00Z</dcterms:created>
  <dcterms:modified xsi:type="dcterms:W3CDTF">2021-07-23T18:46:00Z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