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single" w:color="1A1A1A" w:sz="18"/>
          <w:right w:val="none" w:color="FFFFFF" w:sz="0"/>
          <w:insideH w:val="none" w:color="FFFFFF" w:sz="0"/>
          <w:insideV w:val="none" w:color="FFFFFF" w:sz="0"/>
        </w:tblBorders>
      </w:tblPr>
      <w:tblGrid>
        <w:gridCol w:w="2800"/>
        <w:gridCol w:w="8000"/>
      </w:tblGrid>
      <w:tr>
        <w:tc>
          <w:tcPr>
            <w:tcW w:type="dxa" w:w="2800"/>
            <w:tcMar>
              <w:top w:type="dxa" w:w="80"/>
              <w:left w:type="dxa" w:w="130"/>
              <w:bottom w:type="dxa" w:w="80"/>
              <w:right w:type="dxa" w:w="130"/>
            </w:tcMar>
            <w:vAlign w:val="center"/>
          </w:tcPr>
          <w:p>
            <w:pPr>
              <w:jc w:val="left"/>
            </w:pPr>
            <w:r>
              <w:drawing>
                <wp:inline distT="0" distB="0" distL="0" distR="0">
                  <wp:extent cx="14287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81050"/>
                          </a:xfrm>
                          <a:prstGeom prst="rect">
                            <a:avLst/>
                          </a:prstGeom>
                        </pic:spPr>
                      </pic:pic>
                    </a:graphicData>
                  </a:graphic>
                </wp:inline>
              </w:drawing>
            </w:r>
          </w:p>
        </w:tc>
        <w:tc>
          <w:tcPr>
            <w:tcW w:type="dxa" w:w="8000"/>
            <w:tcMar>
              <w:top w:type="dxa" w:w="80"/>
              <w:left w:type="dxa" w:w="130"/>
              <w:bottom w:type="dxa" w:w="80"/>
              <w:right w:type="dxa" w:w="130"/>
            </w:tcMar>
            <w:vAlign w:val="center"/>
          </w:tcPr>
          <w:p>
            <w:pPr>
              <w:spacing w:after="20" w:before="20"/>
              <w:jc w:val="right"/>
            </w:pPr>
            <w:r>
              <w:rPr>
                <w:rFonts w:ascii="Arial" w:cs="Arial" w:eastAsia="Arial" w:hAnsi="Arial"/>
                <w:b/>
                <w:bCs/>
                <w:i w:val="false"/>
                <w:iCs w:val="false"/>
                <w:caps w:val="false"/>
                <w:color w:val="1A1A1A"/>
                <w:sz w:val="28"/>
                <w:szCs w:val="28"/>
              </w:rPr>
              <w:t xml:space="preserve">Propuesta económica</w:t>
            </w:r>
          </w:p>
          <w:p>
            <w:pPr>
              <w:spacing w:after="20" w:before="20"/>
              <w:jc w:val="right"/>
            </w:pPr>
            <w:r>
              <w:rPr>
                <w:rFonts w:ascii="Arial" w:cs="Arial" w:eastAsia="Arial" w:hAnsi="Arial"/>
                <w:b w:val="false"/>
                <w:bCs w:val="false"/>
                <w:i w:val="false"/>
                <w:iCs w:val="false"/>
                <w:caps w:val="false"/>
                <w:color w:val="5A5A5A"/>
                <w:sz w:val="19"/>
                <w:szCs w:val="19"/>
              </w:rPr>
              <w:t xml:space="preserve">Autoridad del Canal de Panamá</w:t>
            </w:r>
          </w:p>
          <w:p>
            <w:pPr>
              <w:spacing w:after="20" w:before="20"/>
              <w:jc w:val="right"/>
            </w:pPr>
            <w:r>
              <w:rPr>
                <w:rFonts w:ascii="Arial" w:cs="Arial" w:eastAsia="Arial" w:hAnsi="Arial"/>
                <w:b/>
                <w:bCs/>
                <w:i w:val="false"/>
                <w:iCs w:val="false"/>
                <w:caps w:val="false"/>
                <w:color w:val="EB5A2D"/>
                <w:sz w:val="19"/>
                <w:szCs w:val="19"/>
              </w:rPr>
              <w:t xml:space="preserve">Licitación pública N.° 215088 · Guantes · Cierre: 9-oct-2026, 11:00 a.m.</w:t>
            </w:r>
          </w:p>
        </w:tc>
      </w:tr>
    </w:tbl>
    <w:p>
      <w:pPr>
        <w:spacing w:after="24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Licitación N.°</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215088</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N.° de propuesta</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Proponente (razón social del RUC)</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ELITE GUARD, S.A.</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RUC y DV</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155742060-2-2023   DV 50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Fecha de la cotización</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 de octubre de 2026</w:t>
            </w:r>
          </w:p>
        </w:tc>
      </w:tr>
    </w:tbl>
    <w:p>
      <w:pPr>
        <w:spacing w:after="200"/>
      </w:pPr>
      <w:r>
        <w:rPr>
          <w:sz w:val="8"/>
          <w:szCs w:val="8"/>
        </w:rPr>
        <w:t xml:space="preserve"/>
      </w:r>
    </w:p>
    <w:p>
      <w:pPr>
        <w:spacing w:after="300" w:before="20"/>
        <w:jc w:val="both"/>
      </w:pPr>
      <w:r>
        <w:rPr>
          <w:rFonts w:ascii="Arial" w:cs="Arial" w:eastAsia="Arial" w:hAnsi="Arial"/>
          <w:b w:val="false"/>
          <w:bCs w:val="false"/>
          <w:i w:val="false"/>
          <w:iCs w:val="false"/>
          <w:caps w:val="false"/>
          <w:color w:val="5A5A5A"/>
          <w:sz w:val="17"/>
          <w:szCs w:val="17"/>
        </w:rPr>
        <w:t xml:space="preserve">La presente propuesta económica se formula renglón por renglón. La adjudicación de esta licitación es por precio más bajo POR RENGLÓN (numeral 1.5), por lo que cada renglón se cotiza de forma independiente. No se oferta el renglón 1.</w:t>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2</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químico industrial, talla 9 (large)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PPE-GLO-00012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Elite Guard</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Guante de nitrilo corto J710   ·   P/N J710 talla 9</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1,500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US$ 1.14</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US$ 1,710.00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3</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punteado de Kevlar®, hombre, talla 10 X-Large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PPE-GLO-00020</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9366   ·   P/N 9366XL</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 (X-Large)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960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US$ 7.69</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US$ 7,382.40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4</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de examen de nitrilo, mediano, caja de 50 a 100</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NitriShield® 6008   ·   P/N 6008M</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Mediana (M)</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1,000   Box (caja)</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US$ 9.60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US$ 9,600.00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5</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anticorte ANSI A4 / EN 388 4-X-4-2-C, talla 9</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PPE-GLO-00031</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92754BP   ·   P/N 92754BPL</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5,000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US$ 4.69</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US$ 23,450.00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6</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tejido con palma y yemas de PU, talla 11</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PPE-GLO-00033</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92852PU   ·   P/N 92852PU</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11 (2X-Large)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900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US$ 2.89</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US$ 2,601.00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1A1A1A" w:sz="14"/>
          <w:right w:val="single" w:color="1A1A1A" w:sz="14"/>
          <w:insideH w:val="single" w:color="C8C8C8" w:sz="6"/>
          <w:insideV w:val="single" w:color="C8C8C8" w:sz="6"/>
        </w:tblBorders>
      </w:tblPr>
      <w:tblGrid>
        <w:gridCol w:w="6400"/>
        <w:gridCol w:w="4400"/>
      </w:tblGrid>
      <w:tr>
        <w:tc>
          <w:tcPr>
            <w:tcW w:type="dxa" w:w="64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1A1A1A"/>
                <w:sz w:val="20"/>
                <w:szCs w:val="20"/>
              </w:rPr>
              <w:t xml:space="preserve">MONTO TOTAL DE LA PROPUESTA (USD)</w:t>
            </w:r>
          </w:p>
        </w:tc>
        <w:tc>
          <w:tcPr>
            <w:tcW w:type="dxa" w:w="44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bl>
    <w:p>
      <w:pPr>
        <w:spacing w:after="300"/>
      </w:pPr>
      <w:r>
        <w:rPr>
          <w:sz w:val="8"/>
          <w:szCs w:val="8"/>
        </w:rPr>
        <w:t xml:space="preserve"/>
      </w:r>
    </w:p>
    <w:p>
      <w:pPr>
        <w:spacing w:after="120" w:before="20"/>
        <w:jc w:val="left"/>
      </w:pPr>
      <w:r>
        <w:rPr>
          <w:rFonts w:ascii="Arial" w:cs="Arial" w:eastAsia="Arial" w:hAnsi="Arial"/>
          <w:b/>
          <w:bCs/>
          <w:i w:val="false"/>
          <w:iCs w:val="false"/>
          <w:caps w:val="false"/>
          <w:color w:val="1A1A1A"/>
          <w:sz w:val="22"/>
          <w:szCs w:val="22"/>
        </w:rPr>
        <w:t xml:space="preserve">Nota sobre el precio ofertado</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precio ofertado NO incluye ITBMS ni impuestos de importación, conforme a la cláusula 4.28.6 del pliego de cargos único: la Autoridad del Canal de Panamá está exenta de dichos tributos.</w:t>
            </w:r>
          </w:p>
        </w:tc>
      </w:tr>
    </w:tbl>
    <w:p>
      <w:pPr>
        <w:spacing w:after="50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200"/>
        <w:gridCol w:w="4600"/>
      </w:tblGrid>
      <w:tr>
        <w:tc>
          <w:tcPr>
            <w:tcW w:type="dxa" w:w="62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_______________________________________________</w:t>
            </w:r>
          </w:p>
          <w:p>
            <w:pPr>
              <w:spacing w:after="20" w:before="20"/>
              <w:jc w:val="left"/>
            </w:pPr>
            <w:r>
              <w:rPr>
                <w:rFonts w:ascii="Arial" w:cs="Arial" w:eastAsia="Arial" w:hAnsi="Arial"/>
                <w:b/>
                <w:bCs/>
                <w:i w:val="false"/>
                <w:iCs w:val="false"/>
                <w:caps w:val="false"/>
                <w:color w:val="1A1A1A"/>
                <w:sz w:val="17"/>
                <w:szCs w:val="17"/>
              </w:rPr>
              <w:t xml:space="preserve">MICHAEL ROSENTHAL — ELITE GUARD, S.A.</w:t>
            </w:r>
          </w:p>
          <w:p>
            <w:pPr>
              <w:spacing w:after="20" w:before="20"/>
              <w:jc w:val="left"/>
            </w:pPr>
            <w:r>
              <w:rPr>
                <w:rFonts w:ascii="Arial" w:cs="Arial" w:eastAsia="Arial" w:hAnsi="Arial"/>
                <w:b w:val="false"/>
                <w:bCs w:val="false"/>
                <w:i w:val="false"/>
                <w:iCs w:val="false"/>
                <w:caps w:val="false"/>
                <w:color w:val="5A5A5A"/>
                <w:sz w:val="16"/>
                <w:szCs w:val="16"/>
              </w:rPr>
              <w:t xml:space="preserve">Firma y nombre del proponente</w:t>
            </w:r>
          </w:p>
        </w:tc>
        <w:tc>
          <w:tcPr>
            <w:tcW w:type="dxa" w:w="46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w:t>
            </w:r>
          </w:p>
          <w:p>
            <w:pPr>
              <w:spacing w:after="20" w:before="20"/>
              <w:jc w:val="left"/>
            </w:pPr>
            <w:r>
              <w:rPr>
                <w:rFonts w:ascii="Arial" w:cs="Arial" w:eastAsia="Arial" w:hAnsi="Arial"/>
                <w:b/>
                <w:bCs/>
                <w:i w:val="false"/>
                <w:iCs w:val="false"/>
                <w:caps w:val="false"/>
                <w:color w:val="1A1A1A"/>
                <w:sz w:val="17"/>
                <w:szCs w:val="17"/>
              </w:rPr>
              <w:t xml:space="preserve">6 de octubre de 2026</w:t>
            </w:r>
          </w:p>
          <w:p>
            <w:pPr>
              <w:spacing w:after="20" w:before="20"/>
              <w:jc w:val="left"/>
            </w:pPr>
            <w:r>
              <w:rPr>
                <w:rFonts w:ascii="Arial" w:cs="Arial" w:eastAsia="Arial" w:hAnsi="Arial"/>
                <w:b w:val="false"/>
                <w:bCs w:val="false"/>
                <w:i w:val="false"/>
                <w:iCs w:val="false"/>
                <w:caps w:val="false"/>
                <w:color w:val="5A5A5A"/>
                <w:sz w:val="16"/>
                <w:szCs w:val="16"/>
              </w:rPr>
              <w:t xml:space="preserve">Fecha</w:t>
            </w:r>
          </w:p>
        </w:tc>
      </w:tr>
    </w:tbl>
    <w:sectPr>
      <w:footerReference w:type="default" r:id="rId7"/>
      <w:pgSz w:w="12240" w:h="15840" w:orient="portrait"/>
      <w:pgMar w:top="72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6"/>
      </w:pBdr>
      <w:jc w:val="center"/>
    </w:pPr>
    <w:r>
      <w:rPr>
        <w:rFonts w:ascii="Arial" w:cs="Arial" w:eastAsia="Arial" w:hAnsi="Arial"/>
        <w:color w:val="5A5A5A"/>
        <w:sz w:val="15"/>
        <w:szCs w:val="15"/>
      </w:rPr>
      <w:t xml:space="preserve">Licitación ACP 215088 · Guantes · Propuesta económica · Página </w:t>
    </w:r>
    <w:r>
      <w:rPr>
        <w:rFonts w:ascii="Arial" w:cs="Arial" w:eastAsia="Arial" w:hAnsi="Arial"/>
        <w:color w:val="5A5A5A"/>
        <w:sz w:val="15"/>
        <w:szCs w:val="15"/>
      </w:rPr>
      <w:fldChar w:fldCharType="begin"/>
      <w:instrText xml:space="preserve">PAGE</w:instrText>
      <w:fldChar w:fldCharType="separate"/>
      <w:fldChar w:fldCharType="end"/>
    </w:r>
    <w:r>
      <w:rPr>
        <w:rFonts w:ascii="Arial" w:cs="Arial" w:eastAsia="Arial" w:hAnsi="Arial"/>
        <w:color w:val="5A5A5A"/>
        <w:sz w:val="15"/>
        <w:szCs w:val="15"/>
      </w:rPr>
      <w:t xml:space="preserve"> de </w:t>
    </w:r>
    <w:r>
      <w:rPr>
        <w:rFonts w:ascii="Arial" w:cs="Arial" w:eastAsia="Arial" w:hAnsi="Arial"/>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81b2d9ef7c2bbfd046bef35b30c75955bf7e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económica — Licitación ACP 215088</dc:title>
  <dc:creator>Elite Guard</dc:creator>
  <cp:lastModifiedBy>Un-named</cp:lastModifiedBy>
  <cp:revision>1</cp:revision>
  <dcterms:created xsi:type="dcterms:W3CDTF">2026-10-07T20:43:41.381Z</dcterms:created>
  <dcterms:modified xsi:type="dcterms:W3CDTF">2026-10-07T20:43:41.390Z</dcterms:modified>
</cp:coreProperties>
</file>

<file path=docProps/custom.xml><?xml version="1.0" encoding="utf-8"?>
<Properties xmlns="http://schemas.openxmlformats.org/officeDocument/2006/custom-properties" xmlns:vt="http://schemas.openxmlformats.org/officeDocument/2006/docPropsVTypes"/>
</file>