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80"/>
              <w:left w:type="dxa" w:w="130"/>
              <w:bottom w:type="dxa" w:w="80"/>
              <w:right w:type="dxa" w:w="13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80"/>
              <w:left w:type="dxa" w:w="130"/>
              <w:bottom w:type="dxa" w:w="80"/>
              <w:right w:type="dxa" w:w="130"/>
            </w:tcMar>
            <w:vAlign w:val="center"/>
          </w:tcPr>
          <w:p>
            <w:pPr>
              <w:spacing w:after="20" w:before="20"/>
              <w:jc w:val="right"/>
            </w:pPr>
            <w:r>
              <w:rPr>
                <w:rFonts w:ascii="Arial" w:cs="Arial" w:eastAsia="Arial" w:hAnsi="Arial"/>
                <w:b/>
                <w:bCs/>
                <w:i w:val="false"/>
                <w:iCs w:val="false"/>
                <w:caps w:val="false"/>
                <w:color w:val="1A1A1A"/>
                <w:sz w:val="28"/>
                <w:szCs w:val="28"/>
              </w:rPr>
              <w:t xml:space="preserve">Propuesta económica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Licitación 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215088</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N.° de propuesta</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Proponente (razón social del RUC)</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 S.A.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RUC y DV</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155742060-2-2023   DV 50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Fecha de la cotización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 de octubre de 2026</w:t>
            </w:r>
          </w:p>
        </w:tc>
      </w:tr>
    </w:tbl>
    <w:p>
      <w:pPr>
        <w:spacing w:after="200"/>
      </w:pPr>
      <w:r>
        <w:rPr>
          <w:sz w:val="8"/>
          <w:szCs w:val="8"/>
        </w:rPr>
        <w:t xml:space="preserve"/>
      </w:r>
    </w:p>
    <w:p>
      <w:pPr>
        <w:spacing w:after="300" w:before="20"/>
        <w:jc w:val="both"/>
      </w:pPr>
      <w:r>
        <w:rPr>
          <w:rFonts w:ascii="Arial" w:cs="Arial" w:eastAsia="Arial" w:hAnsi="Arial"/>
          <w:b w:val="false"/>
          <w:bCs w:val="false"/>
          <w:i w:val="false"/>
          <w:iCs w:val="false"/>
          <w:caps w:val="false"/>
          <w:color w:val="5A5A5A"/>
          <w:sz w:val="17"/>
          <w:szCs w:val="17"/>
        </w:rPr>
        <w:t xml:space="preserve">La presente propuesta económica se formula renglón por renglón. La adjudicación de esta licitación es por precio más bajo POR RENGLÓN (numeral 1.5), por lo que cada renglón se cotiza de forma independiente. No se oferta el renglón 1.</w:t>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2</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químico industrial, talla 9 (large)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PPE-GLO-00012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Guante de nitrilo corto J710   ·   P/N J710 talla 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1,500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3</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punteado de Kevlar®, hombre, talla 10 X-Large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PPE-GLO-00020</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9366   ·   P/N 9366XL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 (X-Large)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960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4</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de examen de nitrilo, mediano, caja de 50 a 100</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NitriShield® 6008   ·   P/N 6008M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Mediana (M)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1,000   Box (caja)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5</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anticorte ANSI A4 / EN 388 4-X-4-2-C, talla 9</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PPE-GLO-00031</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92754BP   ·   P/N 92754BPL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5,000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6</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tejido con palma y yemas de PU, talla 11</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PPE-GLO-00033</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92852PU   ·   P/N 92852PU</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11 (2X-Large)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1A1A1A" w:sz="14"/>
          <w:right w:val="single" w:color="1A1A1A" w:sz="14"/>
          <w:insideH w:val="single" w:color="C8C8C8" w:sz="6"/>
          <w:insideV w:val="single" w:color="C8C8C8" w:sz="6"/>
        </w:tblBorders>
      </w:tblPr>
      <w:tblGrid>
        <w:gridCol w:w="6400"/>
        <w:gridCol w:w="4400"/>
      </w:tblGrid>
      <w:tr>
        <w:tc>
          <w:tcPr>
            <w:tcW w:type="dxa" w:w="64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1A1A1A"/>
                <w:sz w:val="20"/>
                <w:szCs w:val="20"/>
              </w:rPr>
              <w:t xml:space="preserve">MONTO TOTAL DE LA PROPUESTA (USD)</w:t>
            </w:r>
          </w:p>
        </w:tc>
        <w:tc>
          <w:tcPr>
            <w:tcW w:type="dxa" w:w="44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bl>
    <w:p>
      <w:pPr>
        <w:spacing w:after="300"/>
      </w:pPr>
      <w:r>
        <w:rPr>
          <w:sz w:val="8"/>
          <w:szCs w:val="8"/>
        </w:rPr>
        <w:t xml:space="preserve"/>
      </w:r>
    </w:p>
    <w:p>
      <w:pPr>
        <w:spacing w:after="120" w:before="20"/>
        <w:jc w:val="left"/>
      </w:pPr>
      <w:r>
        <w:rPr>
          <w:rFonts w:ascii="Arial" w:cs="Arial" w:eastAsia="Arial" w:hAnsi="Arial"/>
          <w:b/>
          <w:bCs/>
          <w:i w:val="false"/>
          <w:iCs w:val="false"/>
          <w:caps w:val="false"/>
          <w:color w:val="1A1A1A"/>
          <w:sz w:val="22"/>
          <w:szCs w:val="22"/>
        </w:rPr>
        <w:t xml:space="preserve">Condiciones aplicables a todos los renglones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ofertado NO incluye ITBMS ni impuestos de importación, conforme a la cláusula 4.28.6 del pliego de cargos único: la Autoridad del Canal de Panamá está exenta de dichos tributos.</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unitario absorbe el flete, el seguro, la declaración simplificada de aduanas y su costo, la descarga de los bienes y su colocación en sitio, conforme al término DAP Panamá del numeral 3.2.</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Los bienes ofertados son nuevos, sin uso y sin reconstruir (numeral 2.3).</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Se permiten entregas parciales por renglón adjudicado, únicamente por la totalidad de los artículos solicitados en cada renglón; la facturación será igualmente por renglón completo (numeral 9.6).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proponente acusa recibo de las enmiendas N.° 1 (22-sep-2026) y N.° 2 (30-sep-2026).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Condiciones de pago: las establecidas en el pliego de cargos y en las cláusulas 4.28.18 y 4.28.77.</w:t>
            </w:r>
          </w:p>
        </w:tc>
      </w:tr>
    </w:tbl>
    <w:p>
      <w:pPr>
        <w:spacing w:after="50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bCs/>
                <w:i w:val="false"/>
                <w:iCs w:val="false"/>
                <w:caps w:val="false"/>
                <w:color w:val="1A1A1A"/>
                <w:sz w:val="17"/>
                <w:szCs w:val="17"/>
              </w:rPr>
              <w:t xml:space="preserve">MICHAEL ROSENTHAL — ELITE GUARD, S.A.</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bCs/>
                <w:i w:val="false"/>
                <w:iCs w:val="false"/>
                <w:caps w:val="false"/>
                <w:color w:val="1A1A1A"/>
                <w:sz w:val="17"/>
                <w:szCs w:val="17"/>
              </w:rPr>
              <w:t xml:space="preserve">6 de octubre de 2026</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Propuesta económica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económica — Licitación ACP 215088</dc:title>
  <dc:creator>Elite Guard</dc:creator>
  <cp:lastModifiedBy>Un-named</cp:lastModifiedBy>
  <cp:revision>1</cp:revision>
  <dcterms:created xsi:type="dcterms:W3CDTF">2026-10-06T20:44:09.787Z</dcterms:created>
  <dcterms:modified xsi:type="dcterms:W3CDTF">2026-10-06T20:44:09.796Z</dcterms:modified>
</cp:coreProperties>
</file>

<file path=docProps/custom.xml><?xml version="1.0" encoding="utf-8"?>
<Properties xmlns="http://schemas.openxmlformats.org/officeDocument/2006/custom-properties" xmlns:vt="http://schemas.openxmlformats.org/officeDocument/2006/docPropsVTypes"/>
</file>