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Образовательное частное учреждение высшего образования</w:t>
      </w:r>
    </w:p>
    <w:p>
      <w:pPr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«МОСКОВСКИЙ ФИНАНСОВО-ЮРИДИЧЕСКИЙ УНИВЕРСИТЕТ МФЮА»</w:t>
      </w:r>
    </w:p>
    <w:p>
      <w:pPr>
        <w:widowControl/>
        <w:spacing w:line="360" w:lineRule="auto" w:before="36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Кафедра [наименование кафедры]</w:t>
      </w:r>
    </w:p>
    <w:p>
      <w:pPr>
        <w:widowControl/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КУРСОВАЯ РАБОТА</w:t>
      </w:r>
    </w:p>
    <w:p>
      <w:pPr>
        <w:widowControl/>
        <w:spacing w:line="360" w:lineRule="auto" w:before="24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по дисциплине «Основы ведения единого государственного реестра недвижимости»</w:t>
      </w:r>
    </w:p>
    <w:p>
      <w:pPr>
        <w:widowControl/>
        <w:spacing w:line="360" w:lineRule="auto" w:before="32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на тему:</w:t>
      </w:r>
    </w:p>
    <w:p>
      <w:pPr>
        <w:widowControl/>
        <w:spacing w:line="360" w:lineRule="auto" w:before="12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«Единый государственный реестр недвижимости как информационное обеспечение рынка недвижимости»</w:t>
      </w:r>
    </w:p>
    <w:p>
      <w:pPr>
        <w:widowControl/>
        <w:spacing w:line="360" w:lineRule="auto" w:before="720" w:after="0"/>
        <w:ind w:firstLine="0" w:left="42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Выполнил(а): студент(ка) [ФИО]</w:t>
      </w:r>
    </w:p>
    <w:p>
      <w:pPr>
        <w:widowControl/>
        <w:spacing w:line="360" w:lineRule="auto" w:before="120" w:after="0"/>
        <w:ind w:firstLine="0" w:left="42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Группа: [номер группы]</w:t>
      </w:r>
    </w:p>
    <w:p>
      <w:pPr>
        <w:widowControl/>
        <w:spacing w:line="360" w:lineRule="auto" w:before="120" w:after="0"/>
        <w:ind w:firstLine="0" w:left="42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Научный руководитель: [должность, ФИО]</w:t>
      </w:r>
    </w:p>
    <w:p>
      <w:pPr>
        <w:widowControl/>
        <w:spacing w:line="360" w:lineRule="auto" w:before="96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Москва 2026</w:t>
      </w:r>
    </w:p>
    <w:p>
      <w:pPr>
        <w:pageBreakBefore/>
        <w:widowControl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ОГЛАВЛЕНИЕ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СПИСОК СОКРАЩЕНИЙ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3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ВВЕДЕНИЕ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4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1 Теоретические основы функционирования Единого государственного реестра недвижимости как информационной системы рынка недвижимости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6</w:t>
      </w:r>
    </w:p>
    <w:p>
      <w:pPr>
        <w:tabs>
          <w:tab w:pos="9638" w:val="right" w:leader="dot"/>
        </w:tabs>
        <w:spacing w:line="360" w:lineRule="auto" w:before="0" w:after="0"/>
        <w:ind w:firstLine="0" w:left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1.1 Понятие и предпосылки формирования Единого государственного реестра недвижимости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6</w:t>
      </w:r>
    </w:p>
    <w:p>
      <w:pPr>
        <w:tabs>
          <w:tab w:pos="9638" w:val="right" w:leader="dot"/>
        </w:tabs>
        <w:spacing w:line="360" w:lineRule="auto" w:before="0" w:after="0"/>
        <w:ind w:firstLine="0" w:left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1.2 Нормативно-правовое регулирование ведения Единого государственного реестра недвижимости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8</w:t>
      </w:r>
    </w:p>
    <w:p>
      <w:pPr>
        <w:tabs>
          <w:tab w:pos="9638" w:val="right" w:leader="dot"/>
        </w:tabs>
        <w:spacing w:line="360" w:lineRule="auto" w:before="0" w:after="0"/>
        <w:ind w:firstLine="0" w:left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1.3 Роль Единого государственного реестра недвижимости в информационном обеспечении рынка недвижимости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11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2 Анализ практики использования Единого государственного реестра недвижимости по материалам Росреестра и ППК «Роскадастр»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14</w:t>
      </w:r>
    </w:p>
    <w:p>
      <w:pPr>
        <w:tabs>
          <w:tab w:pos="9638" w:val="right" w:leader="dot"/>
        </w:tabs>
        <w:spacing w:line="360" w:lineRule="auto" w:before="0" w:after="0"/>
        <w:ind w:firstLine="0" w:left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2.1 Состав сведений реестра и их информационное назначение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14</w:t>
      </w:r>
    </w:p>
    <w:p>
      <w:pPr>
        <w:tabs>
          <w:tab w:pos="9638" w:val="right" w:leader="dot"/>
        </w:tabs>
        <w:spacing w:line="360" w:lineRule="auto" w:before="0" w:after="0"/>
        <w:ind w:firstLine="0" w:left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2.2 Порядок и способы предоставления сведений участникам рынка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17</w:t>
      </w:r>
    </w:p>
    <w:p>
      <w:pPr>
        <w:tabs>
          <w:tab w:pos="9638" w:val="right" w:leader="dot"/>
        </w:tabs>
        <w:spacing w:line="360" w:lineRule="auto" w:before="0" w:after="0"/>
        <w:ind w:firstLine="0" w:left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2.3 Оценка результатов использования сведений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19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3 Проблемы и направления совершенствования Единого государственного реестра недвижимости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25</w:t>
      </w:r>
    </w:p>
    <w:p>
      <w:pPr>
        <w:tabs>
          <w:tab w:pos="9638" w:val="right" w:leader="dot"/>
        </w:tabs>
        <w:spacing w:line="360" w:lineRule="auto" w:before="0" w:after="0"/>
        <w:ind w:firstLine="0" w:left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3.1 Проблемы, снижающие качество информационного обеспечения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25</w:t>
      </w:r>
    </w:p>
    <w:p>
      <w:pPr>
        <w:tabs>
          <w:tab w:pos="9638" w:val="right" w:leader="dot"/>
        </w:tabs>
        <w:spacing w:line="360" w:lineRule="auto" w:before="0" w:after="0"/>
        <w:ind w:firstLine="0" w:left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3.2 Правовые и организационные меры совершенствования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27</w:t>
      </w:r>
    </w:p>
    <w:p>
      <w:pPr>
        <w:tabs>
          <w:tab w:pos="9638" w:val="right" w:leader="dot"/>
        </w:tabs>
        <w:spacing w:line="360" w:lineRule="auto" w:before="0" w:after="0"/>
        <w:ind w:firstLine="0" w:left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3.3 Цифровая трансформация и качество сведений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30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ЗАКЛЮЧЕНИЕ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33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СПИСОК ИСПОЛЬЗОВАННЫХ ИСТОЧНИКОВ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35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ПРИЛОЖЕНИЕ А Расчёт показателей динамики электронных заявлений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40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ПРИЛОЖЕНИЕ Б Схема движения сведений между участником рынка и реестром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41</w:t>
      </w:r>
    </w:p>
    <w:p>
      <w:pPr>
        <w:pageBreakBefore/>
        <w:widowControl/>
        <w:spacing w:line="360" w:lineRule="auto" w:before="240"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СПИСОК СОКРАЩЕНИЙ</w:t>
      </w:r>
    </w:p>
    <w:p>
      <w:pPr>
        <w:widowControl/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ГК РФ – Гражданский кодекс Российской Федерации</w:t>
      </w:r>
    </w:p>
    <w:p>
      <w:pPr>
        <w:widowControl/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ЕГРН – Единый государственный реестр недвижимости</w:t>
      </w:r>
    </w:p>
    <w:p>
      <w:pPr>
        <w:widowControl/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ЕГРП – Единый государственный реестр прав на недвижимое имущество и сделок с ним</w:t>
      </w:r>
    </w:p>
    <w:p>
      <w:pPr>
        <w:widowControl/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МФЦ – многофункциональный центр предоставления государственных и муниципальных услуг</w:t>
      </w:r>
    </w:p>
    <w:p>
      <w:pPr>
        <w:widowControl/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НК РФ – Налоговый кодекс Российской Федерации</w:t>
      </w:r>
    </w:p>
    <w:p>
      <w:pPr>
        <w:widowControl/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НСПД – Национальная система пространственных данных</w:t>
      </w:r>
    </w:p>
    <w:p>
      <w:pPr>
        <w:widowControl/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ППК – публично-правовая компания</w:t>
      </w:r>
    </w:p>
    <w:p>
      <w:pPr>
        <w:widowControl/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Росреестр – Федеральная служба государственной регистрации, кадастра и картографии</w:t>
      </w:r>
    </w:p>
    <w:p>
      <w:pPr>
        <w:pageBreakBefore/>
        <w:widowControl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ВВЕДЕНИЕ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Рынок недвижимости устроен так, что предмет сделки остаётся на месте, а права на него существуют в том объёме, в каком их подтвердил публичный учёт. Неверная запись о собственнике, границе или обременении способна остановить продажу, сорвать выдачу кредита или перевести спор в суд. Поэтому сведения об объекте и о правах на него являются условием оборота, а не справочным приложением к нему. Главным юридически значимым источником таких сведений в Российской Федерации выступает Единый государственный реестр недвижимости (далее – ЕГРН). Порядок его ведения установлен Федеральным законом от 13.07.2015 № 218-ФЗ «О государственной регистрации недвижимости» [1].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Актуальность темы связана с изменением роли реестра. Он всё меньше похож на архив учётных дел и всё больше работает как цифровая инфраструктура сделок. Управление Росреестра по Москве в первом полугодии 2025 года приняло 788 817 электронных заявлений на регистрацию прав и кадастровый учёт. Это на 1 % больше, чем за январь – июнь 2024 года (781 597 заявлений), и на 20,6 % больше, чем за первое полугодие 2023 года (653 938) [2]. Одновременно сведения реестра читают не только регистраторы: от полноты записи зависят решение банка о залоге, расчёт налога и вывод оценщика [3]. При этом перевод услуг в электронный вид не закрыл спор о том, насколько запись реестра действительно защищает лицо, которое на неё положилось [4].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Цель исследования – раскрыть роль ЕГРН как информационного обеспечения рынка недвижимости и обосновать направления повышения эффективности его использования.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Для достижения цели поставлены задачи: раскрыть понятие ЕГРН и причины объединения кадастрового учёта с регистрацией прав; описать нормативную основу ведения реестра и спорные места этой основы; определить функции реестра в информационном обеспечении рынка; разобрать состав сведений и каналы их получения; оценить практику использования сведений по материалам Росреестра и публично-правовой компании «Роскадастр»; выделить проблемы и предложить правовые, организационные и цифровые меры.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Объект исследования – информационное обеспечение рынка недвижимости Российской Федерации. Предмет исследования – содержание сведений ЕГРН, порядок их ведения и предоставления, а также практика работы Управления Росреестра по Москве и филиалов ППК «Роскадастр», через которые эти сведения доходят до участников рынка.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 работе применены формально-юридический метод, системный подход, сравнение и статистический анализ. Динамика электронных заявлений оценена цепными темпами прироста и среднегодовым темпом. Нормативную базу составили Конституция Российской Федерации, Гражданский кодекс Российской Федерации, федеральные законы № 218-ФЗ, № 237-ФЗ и № 135-ФЗ, постановление Правительства Российской Федерации от 07.06.2022 № 1040. Фактическую базу образовали сообщения Росреестра и ППК «Роскадастр» за 2022–2025 годы и научные публикации 2021–2023 годов. Расчёт показателей вынесен в приложение 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Работа включает введение, три главы, заключение, список использованных источников и два приложения. Первая глава посвящена понятию, правовым основам и функциям реестра. Вторая глава содержит анализ состава сведений, способов их выдачи и показателей деятельности регистрационного ведомства. В третьей главе сформулированы проблемы и предложения по их устранению.</w:t>
      </w:r>
    </w:p>
    <w:p>
      <w:pPr>
        <w:pageBreakBefore/>
        <w:widowControl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1 Теоретические основы функционирования Единого государственного реестра недвижимости как информационной системы рынка недвижимости</w:t>
      </w:r>
    </w:p>
    <w:p>
      <w:pPr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1.1 Понятие и предпосылки формирования Единого государственного реестра недвижимости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Недвижимость отличается от иных объектов оборота сочетанием трёх свойств. Объект нельзя переместить, каждый участок или помещение уникален, а на один и тот же объект одновременно могут опираться собственность, аренда, ипотека, сервитут и арест. Из-за этого покупатель и продавец изначально находятся в неравном положении: продавец знает историю владения, покупатель видит только то, что ему показали. Чем дороже объект, тем дороже обходится эта неполнота сведений. Речь идёт не о возврате партии товара, а о праве, которое подтверждается публичной записью. Исследователи цифровизации рынка прямо связывают его развитие с качеством информационной базы [5, с. 50].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До 1 января 2017 года эта база в России была разрезана на две части. Государственный кадастр недвижимости хранил технические и пространственные характеристики: границы, площадь, назначение, кадастровую стоимость. Единый государственный реестр прав на недвижимое имущество и сделок с ним фиксировал права, ограничения и обременения. Его правовая основа была заложена Федеральным законом от 21.07.1997 № 122-ФЗ [6]. Кадастровый учёт и регистрация прав шли как самостоятельные процедуры и нередко по разным заявлениям. Сведения об одном объекте расходились, а участник рынка повторял обращение. Для рынка, где цена сделки зависит от совпадения площади, границ и правообладателя, такое расхождение было не технической помехой, а источником спора.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Объединение двух ресурсов стало ответом на эту помеху. Федеральный закон № 218-ФЗ вступил в силу 1 января 2017 года, заменил закон № 122-ФЗ и создал ЕГРН как свод достоверных систематизированных сведений об учтённом недвижимом имуществе, о зарегистрированных правах на такое имущество, об основаниях их возникновения, о правообладателях и об иных сведениях [1]. Смысл реформы шире смены вывески. Участник рынка получил одну точку доступа, а государство – единые правила проверки и обновления данных. Без этого единства реестр оставался бы двумя архивами, которые всё равно пришлось бы сверять вручную.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Сопоставление прежней и действующей моделей приведено в таблице 1. Из неё видно, что изменились не только носитель и название ресурса. Изменился сам порядок, в котором техническое описание объекта встречается с записью о праве.</w:t>
      </w:r>
    </w:p>
    <w:p>
      <w:pPr>
        <w:widowControl/>
        <w:spacing w:line="360" w:lineRule="auto" w:before="20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Таблица 1 – Модели учёта недвижимости до и после 1 января 2017 г.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288"/>
        <w:gridCol w:w="3288"/>
      </w:tblGrid>
      <w:tr>
        <w:trPr>
          <w:tblHeader/>
          <w:cantSplit/>
        </w:trPr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Признак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До 2017 г.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С 2017 г.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Ресурсы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Кадастр недвижимости и ЕГРП ведутся раздельно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Единый государственный реестр недвижимости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Состав сведений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Технические и правовые данные хранятся в разных системах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Технические, правовые и пространственные сведения сведены вместе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Учёт и регистрация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Как правило, разные заявления и разные процедуры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Одна процедура, если учёт и регистрация нужны одновременно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Правовая основа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Отдельные законы о кадастре и о регистрации прав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Федеральный закон № 218-ФЗ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Форма ведения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Значительная доля бумажных документов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Преимущественно электронная форма</w:t>
            </w:r>
          </w:p>
        </w:tc>
      </w:tr>
    </w:tbl>
    <w:p>
      <w:pPr>
        <w:widowControl/>
        <w:spacing w:line="240" w:lineRule="auto" w:before="40" w:after="120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  <w:lang w:val="ru-RU" w:eastAsia="ru-RU"/>
        </w:rPr>
        <w:t>Примечание – Составлено автором по: [1], [6].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Таблица 1 показывает, за счёт чего реестр смог стать информационной основой рынка, а не только внутренней базой ведомства. Единая процедура снимает разрыв во времени между постановкой объекта на учёт и признанием права. Пока эти действия разведены, покупатель может увидеть кадастровый номер и при этом не увидеть актуального правообладателя либо, напротив, увидеть право на объект, границы которого не уточнены. Именно такие разрывы питают споры о предмете сделки.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У ЕГРН два связанных качества, и их нельзя разнимать. С одной стороны, это информационный ресурс: он накапливает и упорядочивает данные. С другой стороны, это способ государственного удостоверения прав. Закон называет государственную регистрацию прав юридическим актом признания и подтверждения возникновения, изменения, перехода, прекращения права или обременения и единственным доказательством существования зарегистрированного права [1]. Запись поэтому не просто сообщает сведения. Она порождает правовые последствия, и участники рынка вынуждены опираться на неё, а не на карточку объявления, справку продавца или внутренний отчёт застройщика. Состояние самого рынка в условиях цифровой экономики исследователи описывают как зависимость решений от скорости и полноты таких данных [7, с. 74].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Отсюда следует рабочее понимание, которого дальше придерживается работа. ЕГРН – это публичная информационная система, которая одновременно описывает объект, подтверждает право и поставляет сведения для экономических решений. Формирование реестра было нужно рынку не как ещё один отчёт государства перед самим собой, а как способ снизить неопределённость сделки. Дальнейшие параграфы показывают, на каких нормах держится эта система и какие функции она выполняет для разных участников.</w:t>
      </w:r>
    </w:p>
    <w:p>
      <w:pPr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1.2 Нормативно-правовое регулирование ведения Единого государственного реестра недвижимости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Правовое регулирование ЕГРН выстроено в несколько уровней, и каждый уровень отвечает на свой вопрос. Конституция Российской Федерации гарантирует право собственности и его защиту [8]. Гражданский кодекс Российской Федерации устанавливает, что право собственности и другие вещные права на недвижимые вещи, ограничения этих прав, их возникновение, переход и прекращение подлежат государственной регистрации и ведутся в едином государственном реестре [9]. Статья 8.1 кодекса задаёт общие правила регистрации прав на имущество: она связывает запись в реестре с моментом возникновения права в случаях, предусмотренных законом, и защищает лицо, которое добросовестно положилось на данные реестра.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Специальный закон детализирует эти правила. Федеральный закон № 218-ФЗ определяет состав сведений, основания и сроки кадастрового учёта и регистрации прав, случаи приостановления и отказа, порядок исправления ошибок, правила предоставления сведений и информационного взаимодействия [1]. Для заявителя, кадастрового инженера, нотариуса, банка и органа власти это единый набор обязанностей и сроков. Комментаторская литература подчёркивает, что учёт и регистрация после 2017 года образуют связанную процедуру, а не два независимых производства [10].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Отдельный контур связан с кадастровой стоимостью, которая вносится в реестр и затем читается налоговой системой. Её определение и установление в размере рыночной стоимости регулируются Федеральным законом от 03.07.2016 № 237-ФЗ «О государственной кадастровой оценке» [11]. Закон об оценочной деятельности сохраняет значение для оценочной профессии и для тех результатов, которые были получены по прежним правилам [12]. Практический смысл этого контура велик: налоговая база по земельному налогу и налогу на имущество физических лиц определяется исходя из кадастровой стоимости [13]. Пока стоимость в реестре расходится с рыночной, налогоплательщик ищет способ её пересмотра [14]. Частая смена порядка пересмотра сама становится проблемой информирования, к ней работа вернётся в третьей главе.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Пространственная оболочка реестра задана постановлением Правительства Российской Федерации от 07.06.2022 № 1040. Этим актом утверждено положение о федеральной государственной географической информационной системе «Единая цифровая платформа „Национальная система пространственных данных“» [15]. Платформа нужна не вместо ЕГРН, а как среда, в которой сведения реестра встречаются с иными пространственными данными. Путать эти две системы нельзя: юридическую силу зарегистрированного права создаёт запись ЕГРН, а платформа меняет способ поиска, показа и сопоставления сведений.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Ведение реестра организационно разделено. Политику и нормативное регулирование осуществляет Федеральная служба государственной регистрации, кадастра и картографии. Учётную и технологическую работу выполняет публично-правовая компания «Роскадастр», правовой статус которой установлен Федеральным законом от 30.12.2021 № 448-ФЗ [16]. Компания приступила к работе в 2023 году на базе прежней кадастровой палаты. Такое разделение типично для крупных государственных информационных систем: регулятор задаёт правила, оператор исполняет учётные действия и выдаёт сведения. Для исследования это важно, потому что практическая глава оценивает не абстрактный рынок, а деятельность именно этих организаций.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Центральное и одновременно самое спорное место режима – принцип публичной достоверности. По общему правилу сведения реестра считаются достоверными, пока не доказано иное, а лицо, которое на них положилось, защищается [9]. Судебная практика последовательно возвращается к вопросу, можно ли опровергнуть запись и какие последствия это имеет для добросовестного приобретателя [17]. А. Д. Рудоквас обращает внимание на другой срез той же проблемы: публичная достоверность объявлена в кодексе, но на практике её смешивают с защитой добросовестного приобретателя, выстроенной в логике оборота движимых вещей [4]. С этой оценкой следует согласиться в главном. Пока приобретатель, проверивший выписку, не защищён от последующего аннулирования записи соразмерно тому риску, который он принял, информационная ценность реестра остаётся неполной. Рынок доверяет записи ровно в той мере, в какой закон защищает полагание на неё. Это не довод против реестра. Это довод в пользу того, чтобы гарантию полагания довести до ясности, а не подменять её общим разговором о добросовестности.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Нормативная база не стоит на месте ещё и потому, что в реестр продолжают вовлекать ранее возникшие права. «Дачная», «гаражная» и «лесная» амнистии расширяют круг объектов, сведения о которых можно внести в упрощённом порядке. Правовой режим «лесной амнистии» для дачных участков разобран Е. И. Ефимовой [18], практика «гаражной амнистии» – П. В. Молчановым [19]. Для информационного обеспечения рынка эти законы имеют двойной результат. Они повышают полноту реестра и одновременно требуют гарантий для третьих лиц: упрощённая запись не должна создавать видимость чистоты там, где границы или права соседей не проверены.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Таким образом, нормативную основу ЕГРН образуют конституционная гарантия собственности, общие правила кодекса, специальный регистрационный закон, законодательство о кадастровой оценке и акт о платформе пространственных данных. Спор о публичной достоверности показывает, что формальное наличие нормы ещё не равно её рыночному эффекту. Этот вывод понадобится при оценке практики и при формулировке предложений.</w:t>
      </w:r>
    </w:p>
    <w:p>
      <w:pPr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1.3 Роль Единого государственного реестра недвижимости в информационном обеспечении рынка недвижимости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Под информационным обеспечением рынка недвижимости в настоящей работе понимается совокупность сведений и способов их получения, которые позволяют участнику принять обоснованное решение о приобретении, отчуждении, залоге, оценке, налогообложении или ином использовании объекта. Цифровизация перевела значительную часть этих сведений в электронный вид и тем самым удешевила поиск и проверку [5, с. 51]. В этом наборе источников ЕГРН занимает центральное место не потому, что других баз нет, а потому, что базы объявлений, отчёты застройщиков и маркетинговые обзоры не обладают силой зарегистрированного права [3].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Роль реестра удобно описать через функции, которые он выполняет для оборота.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Правоудостоверяющая функция состоит в том, что возникновение, переход и прекращение права фиксируются записью. Это снижает риск последующего спора о том, кому объект принадлежал на дату сделки. Информационно-справочная функция даёт доступ к сведениям об объекте и о правах. Фискальная функция связывает кадастровую стоимость с налоговой базой [13]. Аналитическая функция поставляет данные для мониторинга рынка, градостроительных и инвестиционных решений. Охранительная функция должна защищать того, кто положился на реестр. Последняя функция, как показано в параграфе 1.2, реализована слабее остальных, и это ограничивает доверие к первым четырём.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Фискальная связь заслуживает отдельного пояснения. Налоговые органы получают от Росреестра сведения о сделках, что позволяет контролировать налог на доходы физических лиц при продаже имущества [20]. Реестр оказывается узлом между оборотом и бюджетной системой. Ошибка в кадастровой стоимости или в сведениях о правообладателе поэтому бьёт не только по сторонам договора, но и по налоговому администрированию.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Разным участникам нужны разные фрагменты одной и той же записи. Это распределение показано в таблице 2.</w:t>
      </w:r>
    </w:p>
    <w:p>
      <w:pPr>
        <w:widowControl/>
        <w:spacing w:line="360" w:lineRule="auto" w:before="20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Таблица 2 – Сведения ЕГРН, востребованные участниками рынка</w:t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515"/>
        <w:gridCol w:w="3515"/>
      </w:tblGrid>
      <w:tr>
        <w:trPr>
          <w:tblHeader/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Участник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Решение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Какие сведения нужны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Покупатель, арендатор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Заключать ли сделку и на каких условиях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Правообладатель, обременения, площадь, назначение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Банк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Выдавать ли кредит и регистрировать ли залог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Права, аресты, история перехода, ограничения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Нотариус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Удостоверять ли сделку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Правообладатель, доли, ограничения, дееспособность связки документов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Оценщик, инвестор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Какова стоимость и каков риск проекта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Характеристики объекта, кадастровая стоимость, зоны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Налоговый орган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Как исчислить налог и проверить доход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Правообладатель, цена сделки, кадастровая стоимость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Орган власти, суд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Как планировать территорию и разрешить спор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Границы, зоны, история прав, документы-основания</w:t>
            </w:r>
          </w:p>
        </w:tc>
      </w:tr>
    </w:tbl>
    <w:p>
      <w:pPr>
        <w:widowControl/>
        <w:spacing w:line="240" w:lineRule="auto" w:before="40" w:after="120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  <w:lang w:val="ru-RU" w:eastAsia="ru-RU"/>
        </w:rPr>
        <w:t>Примечание – Составлено автором по: [1], [3], [20], [13].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Таблица 2 позволяет увидеть, что потребность в реестре возникает на всём жизненном цикле объекта, а не только в момент купли-продажи. Особенно наглядна предварительная проверка земельного участка. Юристы описывают случаи, когда запрет капитального строительства обнаруживается уже после возведения построек, хотя ограничение можно было установить по сведениям о зонах и виде разрешённого использования заранее [21]. Такие примеры переводят разговор о реестре из области общих деклараций в область конкретных потерь: стоимость сноса, невозможность ввода объекта, спор с соседом.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С позиции издержек сделки реестр сокращает затраты на поиск правообладателя и на измерение характеристик объекта. Покупатель не выстраивает историю владения по частным справкам, а сверяет её с записью. Это не отменяет осмотр и юридическую экспертизу договора. Это задаёт им опорную точку, которую стороны признают заранее. Если запись неполна или её юридическая сила спорна, издержки возвращаются: появляются дополнительная экспертиза, приостановка регистрации, суд.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Проведённый в главе анализ позволяет сделать следующие выводы. ЕГРН возник как ответ на разрыв между кадастровым описанием объекта и регистрацией прав. Его правовая сила выше, чем у частных информационных баз, потому что регистрация признана единственным доказательством зарегистрированного права. Реестр обслуживает сделки, кредит, налог, оценку и управление территорией, однако охранительная функция, связанная с публичной достоверностью, остаётся предметом научной критики. Чтобы судить, выполняет ли реестр роль информационного обеспечения на деле, недостаточно разобрать нормы. Нужно посмотреть, из каких частей состоит запись, как она выдаётся и что показывает статистика организаций, которые её ведут. Этому посвящена вторая глава.</w:t>
      </w:r>
    </w:p>
    <w:p>
      <w:pPr>
        <w:pageBreakBefore/>
        <w:widowControl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2 Анализ практики использования Единого государственного реестра недвижимости по материалам Росреестра и ППК «Роскадастр»</w:t>
      </w:r>
    </w:p>
    <w:p>
      <w:pPr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2.1 Состав сведений реестра и их информационное назначение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Практическая часть построена на деятельности организаций, которые непосредственно ведут реестр и выдают его сведения. Федеральная служба государственной регистрации, кадастра и картографии определяет политику и проводит правовую экспертизу при регистрации прав. ППК «Роскадастр» обеспечивает кадастровый учёт, подготовку и выдачу сведений. Основной статистический ряд взят по Управлению Росреестра по Москве: это крупнейший региональный рынок, и по нему опубликована сопоставимая полугодовая динамика электронных заявлений. Филиалы в Новосибирской и Омской областях привлечены как контраст, а не как вторая тема. Такой выбор позволяет оценить и устройство сведений, и то, как организация доводит их до заявителя.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Состав ЕГРН определён статьёй 7 Федерального закона № 218-ФЗ. Реестр включает реестр объектов недвижимости, реестр прав, ограничений прав и обременений недвижимого имущества, реестр сведений о границах, а также реестровые дела, кадастровые карты и книги учёта документов [1]. Общая схема приведена на рисунке 1.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37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37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before="40" w:after="16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Рисунок 1 – Структура Единого государственного реестра недвижимости (составлено автором по: [1])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Рисунок 1 нужен не как украшение, а как карта вопросов, на которые отвечает реестр. Реестр объектов недвижимости отвечает на вопрос, что это за объект: кадастровый номер, вид, адрес или описание местоположения, площадь, назначение, вид разрешённого использования, кадастровая стоимость. Реестр прав отвечает на вопрос, кому объект принадлежит и чем обременён: правообладатель, вид и основание права, ипотека, аренда, сервитут, арест. Реестр границ фиксирует границы населённых пунктов, территориальных зон, зон с особыми условиями использования территории. Реестровые дела хранят документы-основания. Кадастровые карты дают пространственное изображение. Книги учёта документов фиксируют входящий поток. Содержание частей сведено в таблице 3.</w:t>
      </w:r>
    </w:p>
    <w:p>
      <w:pPr>
        <w:widowControl/>
        <w:spacing w:line="360" w:lineRule="auto" w:before="20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Таблица 3 – Части ЕГРН и их значение для участника рынка</w:t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515"/>
        <w:gridCol w:w="3515"/>
      </w:tblGrid>
      <w:tr>
        <w:trPr>
          <w:tblHeader/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Часть реестра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Основные сведения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Для какого решения используются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Реестр объектов недвижимости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Кадастровый номер, адрес, площадь, назначение, кадастровая стоимость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Опознать объект, оценить его, исчислить налог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Реестр прав, ограничений и обременений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Правообладатель, вид и основание права, ипотека, аренда, арест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Проверить юридическую чистоту и решить вопрос о сделке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Реестр границ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Границы населённых пунктов, территориальных и иных зон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Увидеть градостроительные ограничения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Реестровые дела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Документы-основания учётно-регистрационных действий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Подтвердить законность записи, разрешить спор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Кадастровые карты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Пространственное отображение объектов и зон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Сопоставить объект с окружением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Книги учёта документов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Сведения о принятых документах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Проследить движение заявления</w:t>
            </w:r>
          </w:p>
        </w:tc>
      </w:tr>
    </w:tbl>
    <w:p>
      <w:pPr>
        <w:widowControl/>
        <w:spacing w:line="240" w:lineRule="auto" w:before="40" w:after="120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  <w:lang w:val="ru-RU" w:eastAsia="ru-RU"/>
        </w:rPr>
        <w:t>Примечание – Составлено автором по: [1].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Для сделки обычно недостаточно одной части реестра. Покупателю нужны и площадь, и собственник, а застройщику ещё и зоны из реестра границ: ограничение использования может сделать проект нереализуемым при формально чистой выписке о праве. Ценность ЕГРН определяется тем, запрошен ли вид сведений, который соответствует риску.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Публичная кадастровая карта перенесена на платформу НСПД с сохранением обязательных слоёв: со страницы карты можно перейти к сервисам или запросить выписку [22]. Карта удобна для предварительной проверки, но сделку и суд опирают на выписку из реестра, а не на открытый слой.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Сведения попадают в ЕГРН из нескольких входов. Кадастровый инженер готовит межевой или технический план. Правоустанавливающие документы – договоры, судебные акты, свидетельства о праве на наследство – подтверждают основание права. Органы власти сообщают об изменении категории земель, зонировании, присвоении адреса. Часть данных приходит по межведомственному взаимодействию без отдельного визита правообладателя [1]. Многообразие входов объясняет, почему регистратор проводит правовую экспертизу. Качество реестра не выше качества входящих документов. Если межевой план содержит ошибочную координату, реестр размножит её и придаст ей вид официальной записи.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Особый массив – ранее учтённые объекты: в записи часто нет точных границ или актуального правообладателя. Госпрограмма «Национальная система пространственных данных» ставит целью полноту и качество сведений ЕГРН, а по итогам 2023 года Правительство сообщило о её стопроцентном выполнении [23]. Этот отчёт означает исполнение мероприятий года, а не отсутствие пробелов. Для рынка различие принципиально: отсутствие границы в выписке ещё не доказывает, что спора о границе нет.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Следовательно, структура ЕГРН покрывает идентификацию объекта, юридическую чистоту, пространственные ограничения и доказательственную базу записи. Слабое место состава сведений – не недостаток разделов, а неравномерная заполненность ранее учтённых объектов и зависимость записи от качества входящих документов. Как эти сведения покидают реестр и доходят до заявителя, показано в следующем параграфе.</w:t>
      </w:r>
    </w:p>
    <w:p>
      <w:pPr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2.2 Порядок и способы предоставления сведений участникам рынка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Сведения ЕГРН предоставляются по запросу в форме выписок и копий документов. Наиболее востребованы выписка об основных характеристиках и зарегистрированных правах, выписка о переходе прав, выписка о правах отдельного лица на имевшиеся или имеющиеся у него объекты и выписка о кадастровой стоимости [1]. Выбор вида выписки – часть информационной работы, а не формальность. Текущему покупателю обычно достаточно выписки о характеристиках и правах. Банку и покупателю со сложной историей владения нужна выписка о переходе прав, иначе цепочка собственников остаётся непроверенной.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Получить сведения можно несколькими способами. Гражданин, не пользующийся электронными сервисами, обращается в многофункциональный центр. Дистанционный запрос подаётся через сайт Росреестра и портал государственных услуг. Открытый просмотр без юридической силы выписки даёт публичная кадастровая карта на платформе НСПД. Банки, нотариусы и органы власти используют программные интерфейсы и автоматизированный обмен. Сравнение способов приведено в таблице 4.</w:t>
      </w:r>
    </w:p>
    <w:p>
      <w:pPr>
        <w:widowControl/>
        <w:spacing w:line="360" w:lineRule="auto" w:before="20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Таблица 4 – Способы получения сведений из ЕГРН</w:t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515"/>
        <w:gridCol w:w="3515"/>
      </w:tblGrid>
      <w:tr>
        <w:trPr>
          <w:tblHeader/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Способ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Кто им пользуется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Что важно для рынка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Многофункциональный центр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Граждане, которым неудобен электронный канал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Личный приём, бумажная или электронная форма документов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Сайт Росреестра и портал государственных услуг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Граждане, организации, риелторы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Дистанционный запрос, подпись, оплата без визита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Публичная кадастровая карта на платформе НСПД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Любое заинтересованное лицо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Открытые данные об объекте, границах и зонах; выписку не заменяет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Программные интерфейсы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Банки, нотариусы, органы власти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Массовые запросы и встраивание сведений в собственные системы</w:t>
            </w:r>
          </w:p>
        </w:tc>
      </w:tr>
    </w:tbl>
    <w:p>
      <w:pPr>
        <w:widowControl/>
        <w:spacing w:line="240" w:lineRule="auto" w:before="40" w:after="120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  <w:lang w:val="ru-RU" w:eastAsia="ru-RU"/>
        </w:rPr>
        <w:t>Примечание – Составлено автором по: [1], [22], [24].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Таблица 4 разделяет открытый просмотр и юридически значимую выдачу. Это различие часто теряется в бытовом представлении о «проверке по карте». Карта снижает порог знакомства с объектом и поэтому полезна. Выписка фиксирует сведения на дату запроса и используется в сделке. Эффективность информационного обеспечения нельзя измерять только посещаемостью карты: рынок считается обеспеченным тогда, когда нужная выписка получена вовремя и прочитана правильно.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Для сделок, в которых покупатель и объект находятся в разных регионах, существен экстерриториальный принцип. Документы на учёт и регистрацию можно подать независимо от места нахождения объекта [1]. Это снижает издержки межрегионального оборота. Отдельный срок установлен для ипотеки: при электронном взаимодействии кредитной организации регистрация ипотеки проводится в сокращённый срок, вплоть до одного рабочего дня [1]. Скорость здесь прямо влияет на ликвидность. Пока залог не зарегистрирован, банк несёт паузу, а заёмщик не получает деньги.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Цена доступа тоже направляет выбор канала. В 2024 году в Новосибирской области выписка об основных характеристиках и правах стоила физическому лицу 460 рублей на бумаге и 290 рублей в электронном виде; электронная выдача занимала три дня, бумажная через МФЦ – дольше на два дня [24]. С 1 января 2025 года по приказу Росреестра от 28.10.2024 № П/0335/24 плата составляет 920 и 570 рублей соответственно [25]. Электронный документ остаётся дешевле, поэтому канал сохраняет преимущество, но более высокая плата ограничивает частые проверочные запросы граждан.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Масштаб электронного канала в Москве за десятилетие показывает, что способ предоставления уже перестал быть экспериментом. С 2015 года, когда электронных заявлений было около одной тысячи, столичное управление вышло на 1,6 млн таких заявлений по итогам 2024 года, а всего за десять лет приняло более 6,5 млн онлайн-обращений на учётно-регистрационные действия [2]. Для рынка это означает, что профессиональные участники выстроили свои процессы вокруг электронного взаимодействия. Количественная оценка того, исчерпан ли этот рост, дана в следующем параграфе.</w:t>
      </w:r>
    </w:p>
    <w:p>
      <w:pPr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2.3 Оценка результатов использования сведений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Число обращений само по себе не измеряет достоверность записи. Оно измеряет другое: насколько участники рынка реально пользуются каналом, через который реестр включается в сделку. Для такой оценки взят ряд электронных заявлений Управления Росреестра по Москве на регистрацию прав и кадастровый учёт за первое полугодие 2022–2025 годов. Ряд не описывает всю страну. Он описывает крупнейший рынок, по которому есть сопоставимые публикации ведомства [2], [26]. Исходные значения и расчёт темпов приведены в таблице 5 и в приложении А.</w:t>
      </w:r>
    </w:p>
    <w:p>
      <w:pPr>
        <w:widowControl/>
        <w:spacing w:line="360" w:lineRule="auto" w:before="20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Таблица 5 – Электронные заявления Управления Росреестра по Москве, I полугодие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644"/>
        <w:gridCol w:w="1644"/>
        <w:gridCol w:w="1644"/>
        <w:gridCol w:w="1757"/>
      </w:tblGrid>
      <w:tr>
        <w:trPr>
          <w:tblHeader/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Показатель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2022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2023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2024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2025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Число заявлений, ед.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415 547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653 938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781 597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788 817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Число заявлений, тыс.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415,5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653,9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781,6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788,8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Цепной темп прироста, %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–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57,4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19,5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0,9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Базисный темп прироста к 2022 г., %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–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57,4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88,1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89,8</w:t>
            </w:r>
          </w:p>
        </w:tc>
      </w:tr>
    </w:tbl>
    <w:p>
      <w:pPr>
        <w:widowControl/>
        <w:spacing w:line="240" w:lineRule="auto" w:before="40" w:after="120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  <w:lang w:val="ru-RU" w:eastAsia="ru-RU"/>
        </w:rPr>
        <w:t>Примечание – Составлено и рассчитано автором по: [26], [2]. Значения в тысячах округлены до одного знака.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Темп прироста в таблице 5 исчислен по формуле</w:t>
      </w:r>
    </w:p>
    <w:p>
      <w:pPr>
        <w:widowControl/>
        <w:spacing w:line="360" w:lineRule="auto" w:before="120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 = (Yt / Yt–1 – 1) × 100 %, (1)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где Т – цепной темп прироста, %; Yt – число электронных заявлений в текущем полугодии; Yt–1 – число заявлений в том же полугодии предыдущего года. Для 2025 года расчёт имеет вид: (788 817 / 781 597 – 1) × 100 % = 0,9 %. Среднегодовой темп за три шага от 2022 к 2025 году определён по формуле</w:t>
      </w:r>
    </w:p>
    <w:p>
      <w:pPr>
        <w:widowControl/>
        <w:spacing w:line="360" w:lineRule="auto" w:before="120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Тср = ((Y2025 / Y2022) ^ (1/3) – 1) × 100 % = 23,8 %. (2)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Подробная подстановка приведена в приложении А. Графически уровень ряда показан на рисунке 2, а затухание прироста – на рисунке 3.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8700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sc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7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before="40" w:after="16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Рисунок 2 – Электронные заявления в Управление Росреестра по Москве за первое полугодие, тыс. (составлено автором по: [26], [2])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7777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77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before="40" w:after="16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Рисунок 3 – Цепной темп прироста электронных заявлений, % (рассчитано автором)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Рисунки 2 и 3 показывают две фазы. В 2022–2024 годах поток вырос почти вдвое, с 415,5 до 781,6 тыс., главный скачок пришёлся на 2023 год. В первом полугодии 2025 года прирост сжался до 0,9 %: базисные 89,8 % за три года были накоплены раньше. Ведомство говорит о выходе на плато около 130 тыс. заявлений в месяц [2]. С полугодовым плато следует согласиться, но месяц мягче не стал. В мае 2025 года принято 117 458 электронных заявлений, на 14,2 % меньше мая 2024 года (136 912); за январь – май итог всё же выше на 1,9 % (661 825 против 649 580) [27]. В июне 2025 года поступило 126 992 заявления: на 8,1 % больше мая и на 3,8 % меньше июня 2024 года (132 017) [2]. Плато – это среднее. Месячный спад нельзя читать как отказ от цифры: колеблется оборот, а электронный канал для Москвы уже основной.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Оставшийся рост сместился в корпоративный сегмент. За январь – июль 2025 года от юридических лиц поступило 176,4 тыс. электронных заявлений. Это на 17,6 % больше, чем за тот же период 2024 года (150,1 тыс.), и на 40,5 % больше, чем в 2023 году (125,6 тыс.). Доля юридических лиц в электронных заявлениях выросла с 16 до 19 % [28]. Пока общий поток стоит на месте, профессиональные заявители продолжают переводить свои пакеты в электронный вид. Для информационного обеспечения это благоприятный признак: именно банки, застройщики и иные организации формируют массовые и повторные запросы, от которых зависит скорость ипотеки и регистрации договоров.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Региональная картина неоднородна, и сравнивать её можно только с оговоркой о разных показателях. В таблице 6 рядом поставлены не «рейтинг цифровизации», а разные измерители, чтобы не сложить несопоставимые доли.</w:t>
      </w:r>
    </w:p>
    <w:p>
      <w:pPr>
        <w:widowControl/>
        <w:spacing w:line="360" w:lineRule="auto" w:before="20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Таблица 6 – Показатели электронного взаимодействия в отдельных регионах</w:t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38"/>
        <w:gridCol w:w="2438"/>
        <w:gridCol w:w="2494"/>
      </w:tblGrid>
      <w:tr>
        <w:trPr>
          <w:tblHeader/>
          <w:cantSplit/>
        </w:trP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Территория и период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Что измерено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Значение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Как читать показатель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Москва, I полугодие 2025 г.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Число электронных заявлений на регистрацию и учёт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788,8 тыс.; +0,9 % к 2024 г.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Уровень потока, а не доля от всех заявлений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Новосибирская область, 2024 г.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Выдано выписок из ЕГРН и доля электронных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3,1 млн; 98 %; +14 % к 2023 г.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Почти весь массив выписок ушёл в электронный вид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Омская область, I полугодие 2025 г.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Заявления на учёт и регистрацию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Объём −10 %; в электронном виде 60 %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Канал ещё не поглотил бумажный поток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Омская область, I полугодие 2025 г.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Договоры долевого участия и ипотека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Договоры −40 %, из них 97 % электронных; ипотечные заявления −46 %, электронная доля 64 %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Спрос сжался, а доля цифры по этим продуктам осталась высокой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Омская область, июнь 2025 г.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Все заявления месяца и доля электронных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21 563 заявления; 67 % электронных (в мае 62 %)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Внутри года электронная доля подросла</w:t>
            </w:r>
          </w:p>
        </w:tc>
      </w:tr>
    </w:tbl>
    <w:p>
      <w:pPr>
        <w:widowControl/>
        <w:spacing w:line="240" w:lineRule="auto" w:before="40" w:after="120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  <w:lang w:val="ru-RU" w:eastAsia="ru-RU"/>
        </w:rPr>
        <w:t>Примечание – Составлено автором по: [2], [29], [30], [31].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Таблица 6 не позволяет выстроить регионы в одну лестницу «от лучшего к худшему», потому что Москва измерена числом электронных заявлений на регистрацию, Новосибирская область – выданными выписками, Омская область – долей заявлений. Прямое сопоставление 98 и 60 % было бы некорректным. Корректный вывод качественный. Там, где услуга массово переведена в цифру, электронный документ стал обычным способом получить сведения: в Новосибирской области за 2024 год выдано 3,1 млн выписок, и 98 % из них – в электронном виде, что на 14 % больше, чем годом ранее [29]. За девять месяцев 2024 года новосибирский филиал подготовил более 2,3 млн документов, и 97 % запросов пришли электронно [24]. В Омской области к середине 2025 года электронный канал охватывает около 60 % заявлений на учёт и регистрацию, а в июне – 67 % [30], [31].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Омские данные полезны именно причинным разбором, а не величиной доли. За первое полугодие 2025 года число заявлений на учётно-регистрационные действия сократилось на 10 % к тому же периоду 2024 года. Заявления на регистрацию договоров долевого участия упали на 40 %, но 97 % из сохранившихся поступили электронно. Ипотечные заявления сократились на 46 %, при этом доля электронной ипотеки осталась 64 % [30]. Объём рынка и способ подачи документов двигаются раздельно. Сжатие спроса на новостройки и ипотеку уменьшает число записей, которые вообще появляются в реестре. Оно не отменяет того, что по оставшимся договорам стороны уже работают через электронный канал. Информационное обеспечение поэтому нельзя улучшать одной только кампанией «переходите в онлайн». Если сделок меньше, реестр получает меньше свежих сведений о ценах и переходах прав независимо от интерфейса.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Положительные стороны практики – дистанционная выписка и подача документов, видимость обременений до сделки, ускорение ипотеки при электронном пакете банка, межведомственный обмен и более низкая цена электронной выписки [25]. Отрицательные стороны – иное. Рост заявлений не доказывает полноту ранее внесённых сведений. Регионы находятся на разных стадиях перехода. Открытую карту легко принять за достаточную проверку, хотя силы выписки у неё нет. Повышение платы с 2025 года удорожает частую проверку, а месячный ряд Москвы показывает, что формула «плато без резких колебаний» верна для полугодия и неверна для отдельного месяца.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Выводы по второй главе сводятся к следующему. Состав ЕГРН позволяет закрыть основные информационные вопросы сделки, если запись заполнена и если заявитель запросил соответствующий вид сведений. Организации, ведущие реестр, перевели массовый поток в электронный вид: в Москве полугодовой прирост этого потока к 2025 году почти остановился, в Новосибирской области электронными стали 98 % выписок, в Омской области доля электронных заявлений составляет около 60–67 % при одновременном спаде числа сделок. Эффективность использования сведений поэтому определяется двумя независимыми условиями: удобством канала и достоверностью самой записи. Второе условие числом заявлений не измеряется. Проблемы записи и меры по их снятию рассмотрены в третьей главе.</w:t>
      </w:r>
    </w:p>
    <w:p>
      <w:pPr>
        <w:pageBreakBefore/>
        <w:widowControl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3 Проблемы и направления совершенствования Единого государственного реестра недвижимости</w:t>
      </w:r>
    </w:p>
    <w:p>
      <w:pPr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3.1 Проблемы, снижающие качество информационного обеспечения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Материал первых двух глав позволяет сгруппировать то, что мешает ЕГРН работать как информационная основа рынка. Группы связаны между собой: пробел в записи порождает ошибку, ошибка порождает спор, спор подрывает доверие к следующей записи.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Первая группа – неполнота и историческая разнородность сведений. Значительная часть прав возникла до обязательной регистрации в современном виде. У многих ранее учтённых участков нет точных границ, у части объектов нет актуального правообладателя. Государство отвечает упрощёнными процедурами: «дачная», «гаражная» и «лесная» амнистии втягивают такие объекты в оборот [18], [19]. Для участника рынка отсутствие записи или границы двусмысленно. Оно может означать, что права нет. Оно может означать и то, что право есть, но в реестр не перенесено. Пока эта двусмысленность сохраняется, выписка не закрывает риск, а только переносит его в оговорку договора.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Вторая группа – реестровые ошибки. Они возникают при подготовке межевого и технического планов, при переносе сведений из прежних баз и при несогласованности информационных систем. Исправление требует нового обращения и времени. Покупатель, положившийся на выписку, может обнаружить пересечение границ или ограничение, которого из краткой выписки не видно [21]. Ошибка опасна именно официальным видом: сторона спора предъявляет выписку как доказательство, хотя координата в ней неверна. Чем выше доверие к форме документа, тем дороже содержательная ошибка.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Третья группа – кадастровая стоимость. Она стоит в реестре и служит налоговой базой, но нередко расходится с рыночной ценой, поэтому споров много [14]. Г. А. Комиссаров критически оценивает рассмотрение таких дел и пишет о государственном протекционизме, при котором позиция бюджетной экспертной организации ослабляет состязательность [32]. Н. А. Киселева выделяет типичные категории споров: об установлении стоимости в размере рыночной, об оставлении иска без рассмотрения из-за несоблюдения досудебного порядка и о распределении расходов на экспертизу [33]. К этой процессуальной критике стоит добавить информационный эффект. Если порядок пересмотра меняется от тура оценки к туру, налогоплательщик и инвестор не могут прочитать кадастровую стоимость как устойчивый сигнал. Фискальная функция реестра тогда начинает искажать ожидания вместо того, чтобы их прояснять. Для результатов, определённых по закону № 237-ФЗ, основным путём является установление стоимости в размере рыночной по правилам этого закона; статья 24.18 закона № 135-ФЗ не должна восприниматься как вечный и универсальный способ [11], [12].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Четвёртая группа – неравномерность цифровизации. Параграф 2.3 показал, что сопоставлять регионы одной цифрой доли нельзя, но качественный разрыв виден и без такой натяжки. В одном регионе электронная выписка стала обычным документом, в другом около трети и более заявлений всё ещё идут по иным каналам, а внутри месяца доля заметно колеблется [29], [31]. Доступ к одному и тому же реестру оказывается разным. Для межрегиональной сделки это означает разную скорость подготовки документов в зависимости от того, где расположен объект, а не от сложности права.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Пятая группа – правовая конструкция публичной достоверности. Позиция А. Д. Рудокваса, разобранная в параграфе 1.2, сохраняет силу и на практическом материале [4]. Если запись можно опровергнуть, а приобретатель, который её проверил, не получает ясной и соразмерной защиты, рынок закладывает скидку за риск либо уходит в дополнительные страховки и поручительства. Информационное обеспечение в таком случае формально есть, а экономического доверия к нему меньше, чем обещает принцип. Судебные подборки подтверждают, что вопрос достоверности не является кабинетным: он регулярно возникает в спорах о праве [17].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Шестая группа – безопасность сведений и граница открытости. Рост электронного взаимодействия сопровождается риском мошенничества и утечки персональных данных [3]. Рынок нуждается в открытых характеристиках объекта, обременениях и зонах. Он не нуждается в свободном тиражировании сведений о человеке, которому объект принадлежит. Смешение этих двух режимов либо запирает полезные данные, либо выставляет правообладателя. Оба исхода снижают качество информационного обеспечения.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Сводка проблем и их рыночных последствий дана в таблице 7.</w:t>
      </w:r>
    </w:p>
    <w:p>
      <w:pPr>
        <w:widowControl/>
        <w:spacing w:line="360" w:lineRule="auto" w:before="20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Таблица 7 – Проблемы использования ЕГРН и последствия для рынка</w:t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515"/>
        <w:gridCol w:w="3515"/>
      </w:tblGrid>
      <w:tr>
        <w:trPr>
          <w:tblHeader/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Проблема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Как проявляется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Что происходит на рынке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Неполнота сведений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Нет записи о ранее возникшем праве, граница не уточнена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Двусмысленная выписка, оговорки в договоре, срыв сделки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Реестровая ошибка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Пересечение границ, неверные площадь и координаты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Спор, расходы на исправление, пауза в регистрации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Кадастровая стоимость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Расхождение с рыночной ценой, смена порядка пересмотра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Непредсказуемый налог, рост числа споров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Неравномерная цифровизация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Разная доля и разный навык электронного канала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Неравная скорость доступа к одним и тем же сведениям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Слабая защита полагания на запись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Запись опровергается без ясной гарантии приобретателю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Скидка за риск, дополнительные способы обеспечения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Безопасность и персональные данные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Мошенничество, избыточное раскрытие сведений о лице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Угроза правам и отказ от легальных электронных сервисов</w:t>
            </w:r>
          </w:p>
        </w:tc>
      </w:tr>
    </w:tbl>
    <w:p>
      <w:pPr>
        <w:widowControl/>
        <w:spacing w:line="240" w:lineRule="auto" w:before="40" w:after="120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  <w:lang w:val="ru-RU" w:eastAsia="ru-RU"/>
        </w:rPr>
        <w:t>Примечание – Составлено автором по: [4], [32], [33], [3], [21], [29], [30].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Из таблицы 7 следует, что лечить стоит не симптом отдельной выписки, а связку «полнота – проверка на входе – стабильное правило пересмотра стоимости – равный доступ – защита того, кто записи доверился». Точечная кампания по одному из пунктов оставляет остальные входы для той же неопределённости.</w:t>
      </w:r>
    </w:p>
    <w:p>
      <w:pPr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3.2 Правовые и организационные меры совершенствования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Меры имеет смысл привязать к проблемам таблицы 7, иначе предложение остаётся лозунгом. Нормативное направление включает три шага. Первый – продолжение легализации ранее возникших прав и выявление правообладателей, чьи объекты ещё не описаны в реестре. Упрощённые процедуры расширяют охват, но их нужно сопровождать защитой соседей и иных третьих лиц: ускоренная запись без проверки пересечений границ воспроизводит ошибку в новом объёме [18], [19]. Второй шаг – устойчивость правил пересмотра кадастровой стоимости. Понятный срок, один досудебный порядок и предсказуемая роль бюджетного учреждения полезнее очередной развилки между статьёй 24.18 закона № 135-ФЗ и процедурой закона № 237-ФЗ [11], [33]. Третий шаг – прямое уточнение того, что получает лицо, которое положилось на выписку, если запись впоследствии аннулирована. Научная критика здесь уже сформулирована, и нормативному тексту стоит ответить на неё конкретно, а не новым общим принципом [4].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Организационное направление касается того, как Росреестр и ППК «Роскадастр» принимают и сверяют данные. Чем больше сведений приходит из первичного источника автоматически – от нотариуса, суда, органа местного самоуправления, банка, – тем меньше заявитель переписывает одни и те же реквизиты и тем меньше шансов на расхождение копий. Межведомственный обмен уже предусмотрен законом [1]. Резерв состоит в полноте этого обмена на стороне органов, которые порождают сведения о зонах, адресах и разрешениях, а не только на стороне регистратора.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Выравнивание регионов не равно запрету бумажного канала. Цель – одинаковое содержание сведений и сопоставимый срок, а не одинаковая кнопка. Единые технические требования, обучение сотрудников территориальных подразделений и помощь заявителю, у которого нет навыка электронной подписи, сокращают разрыв, зафиксированный на омском и новосибирском материале [30], [29]. Закрытие МФЦ ради отчёта о доле электронных заявлений ухудшило бы доступ и не улучшило бы качество записи. Июньские данные по Омской области, где электронная доля выросла с 62 до 67 % за месяц при росте общего числа заявлений, показывают, что доля способна расти без административного запрета бумаги [31].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Отдельный резерв – достоверность границ. Заявительный порядок уточнения означает, что ошибка исправляется только тогда, когда конкретному владельцу стало больно. Массовые кадастровые работы в границах кадастрового квартала позволяют увидеть пересечения сразу по группе участков, а не по одному заявлению. Эффект таких работ зависит от финансирования и от того, считает ли их приоритетом орган власти на месте. Для информационного обеспечения это более дешёвый путь, чем последующая череда индивидуальных споров.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Предлагаемое соответствие проблем и мер сведено в таблице 8.</w:t>
      </w:r>
    </w:p>
    <w:p>
      <w:pPr>
        <w:widowControl/>
        <w:spacing w:line="360" w:lineRule="auto" w:before="20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Таблица 8 – Меры совершенствования и ожидаемый эффект</w:t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515"/>
        <w:gridCol w:w="3515"/>
      </w:tblGrid>
      <w:tr>
        <w:trPr>
          <w:tblHeader/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Проблема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Мера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Ожидаемый эффект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Неполнота сведений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Легализация ранее возникших прав и массовое уточнение границ с гарантией для третьих лиц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Меньше двусмысленных выписок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Реестровая ошибка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Автоматическая проверка пересечений при приёме документов и межведомственный обмен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Меньше ошибок, которые успевают стать записью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Кадастровая стоимость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Один устойчивый порядок установления стоимости в размере рыночной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Понятный налоговый сигнал, меньше процессуальных тупиков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Неравномерная цифровизация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Единые требования, обучение, сохранение очного канала для тех, кто не работает в электронном виде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Сопоставимый доступ без отсечения части владельцев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Слабая защита полагания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Прямая норма о последствиях для лица, проверившего выписку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Рост доверия к записи как к основанию сделки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Безопасность данных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Разделение открытых сведений об объекте и ограниченных сведений о лице, контроль подлинности документов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Меньше поводов для мошенничества и для отказа от сервиса</w:t>
            </w:r>
          </w:p>
        </w:tc>
      </w:tr>
    </w:tbl>
    <w:p>
      <w:pPr>
        <w:widowControl/>
        <w:spacing w:line="240" w:lineRule="auto" w:before="40" w:after="120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  <w:lang w:val="ru-RU" w:eastAsia="ru-RU"/>
        </w:rPr>
        <w:t>Примечание – Составлено автором по: [1], [11], [4], [33], [22].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Таблица 8 намеренно не обещает количественный процент снижения споров: такого ряда в открытых сообщениях ведомства нет, и подставлять его было бы недобросовестно. Эффект описан качественно и привязан к механизму. Критерием будущей проверки может стать не доля электронных заявлений, которая в Москве уже вышла на плато, а доля приостановлений из-за реестровой ошибки, срок исправления границы и число споров о кадастровой стоимости на тысячу объектов. Эти показатели ближе к качеству информационного обеспечения, чем валовой поток обращений.</w:t>
      </w:r>
    </w:p>
    <w:p>
      <w:pPr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3.3 Цифровая трансформация и качество сведений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Цифровая трансформация реестра сегодня сосредоточена вокруг платформы НСПД. Положение о ней утверждено в 2022 году и впоследствии изменялось [15]. Платформа задумана как объединение сведений о земле и недвижимости, включая права и кадастровую оценку, с иными пространственными данными органов власти [34]. Первая очередь введена в эксплуатацию в декабре 2023 года, вторая – 23 декабря 2024 года. Вместе со второй очередью на платформу перенесена публичная кадастровая карта и открыты новые сервисы [22]. Сообщение Правительства о стопроцентном выполнении госпрограммы за 2023 год фиксирует административный результат этапа, а не завершение работы над полнотой ЕГРН [23].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Для качества записи важнее карты оказывается сервис, который показывает пространственные данные ещё до подачи документов. Заявитель или кадастровый инженер может загрузить сведения межевого или технического плана и увидеть пересечение с уже учтёнными объектами и зонами. Рядом работает сервис, формирующий отчёт о таких проверках. Это перенос контроля с момента, когда ошибка уже стала записью, на момент, когда документ ещё можно исправить [22]. В логике таблицы 8 именно такой контроль отвечает на группу реестровых ошибок. Пока проверка остаётся добровольной демонстрацией, её эффект ограничен добросовестностью исполнителя. Следующий организационный шаг – использовать ту же проверку как обязательный фильтр приёма, а не только как справочный сервис.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Второе направление – интерфейсы для профессиональных участников. Банк, застройщик и нотариус не должны заново набирать сведения, которые уже есть в их системах и в реестре. Сокращение срока регистрации ипотеки при электронном пакете уже показывает, как интерфейс влияет на сделку [1]. Распространение того же режима на массовые, но более сложные пакеты – договоры долевого участия, регистрацию аренды, учёт машино-мест – даст больший рыночный эффект, чем ещё один личный кабинет для разового заявителя. Московская статистика это подтверждает косвенно: общий электронный поток встал, а поток от юридических лиц в январе – июле 2025 года вырос на 17,6 % [28].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Третье направление – баланс открытости и защиты частной жизни. Характеристики объекта, обременения и зоны с особыми условиями использования стоит держать доступными: без них невозможна та предварительная проверка, отсутствие которой приводит к строительству в запрещённом месте [21]. Сведения, по которым идентифицируется человек, должны оставаться в режиме ограниченного доступа с фиксацией того, кто и зачем их запросил [3]. Платформа НСПД как раз удобна для такого разделения, потому что открытый слой карты и юридически значимая выписка на ней уже разведены технически. Это разведение нужно закрепить как правило доступа, а не оставлять побочным свойством интерфейса.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Авторская позиция по итогам трёх направлений такова. Повышать эффективность ЕГРН как информационного обеспечения означает улучшать содержание записи и предсказуемость её правовых последствий, а не только скорость кнопки. Канал в крупных городах уже близок к насыщению, что показал полугодовой прирост 0,9 % в Москве. Дальнейшая отдача лежит в полноте границ, в проверке документов до внесения записи, в стабильном порядке кадастровой стоимости и в ясной защите лица, которое на выписку положилось. Платформа НСПД полезна ровно в той мере, в какой её сервисы встроены в приём документов, а не существуют рядом с реестром как отдельная витрина.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Таким образом, цифровая повестка не отменяет выводов правовой главы. Она даёт инструмент для тех мер, которые без пространственной проверки и межведомственного обмена остались бы пожеланием. Условие одно: показатель успеха следует сменить. Не число принятых электронных заявлений, а уменьшение ошибок, которые доходят до записи, и уменьшение случаев, когда добросовестный читатель выписки всё равно проигрывает право.</w:t>
      </w:r>
    </w:p>
    <w:p>
      <w:pPr>
        <w:pageBreakBefore/>
        <w:widowControl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ЗАКЛЮЧЕНИЕ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Исследование было направлено на то, чтобы раскрыть роль ЕГРН как информационного обеспечения рынка недвижимости и обосновать направления повышения эффективности его использования. Поставленная цель достигнута, задачи решены.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 первой главе показано, что реестр появился 1 января 2017 года как объединение государственного кадастра недвижимости и реестра прав. Объединение устранило организационный разрыв между описанием объекта и признанием права. Запись ЕГРН обладает юридической силой: государственная регистрация является единственным доказательством зарегистрированного права. Нормативную основу составляют Конституция Российской Федерации, Гражданский кодекс Российской Федерации, Федеральный закон № 218-ФЗ, законы о кадастровой оценке и постановление Правительства Российской Федерации от 07.06.2022 № 1040. Реестр выполняет правоудостоверяющую, информационно-справочную, фискальную, аналитическую и охранительную функции. Последняя остаётся наиболее спорной: публичная достоверность объявлена, но защита лица, положившегося на запись, по оценке А. Д. Рудокваса смешана с конструкцией добросовестного приобретения и на практике не доведена до ясности. С этой критикой работа соглашается и считает её рыночной, а не только догматической проблемой.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Во второй главе на материалах Росреестра и ППК «Роскадастр» разобраны состав сведений, способы выдачи и результаты использования. Реестр отвечает на вопросы об объекте, о праве, о границах и о документах-основаниях, если запись заполнена и если запрошен нужный вид выписки. Открытая кадастровая карта на платформе НСПД ускоряет предварительный просмотр и не заменяет выписку. В Москве число электронных заявлений за первое полугодие выросло с 415 547 в 2022 году до 788 817 в 2025 году, то есть на 89,8 %. Среднегодовой темп прироста составил 23,8 %, однако в 2025 году цепной прирост сжался до 0,9 %. Месячные данные мая и июня 2025 года показывают, что плато является полугодовым средним и не отменяет календарных колебаний. Рост сохранился в сегменте юридических лиц: плюс 17,6 % за январь – июль 2025 года. В Новосибирской области в 2024 году выдано 3,1 млн выписок, 98 % – в электронном виде. В Омской области при снижении числа заявлений на 10 % электронными были 60 % заявлений, а по договорам долевого участия – 97 %. Объём рынка и способ подачи документов изменяются раздельно.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 третьей главе выделены неполнота исторических сведений, реестровые ошибки, споры о кадастровой стоимости, региональная неравномерность цифрового доступа, недостаточная защита полагания на запись и риски избыточной открытости персональных данных. В ответ предложены продолжение легализации ранее возникших прав вместе с гарантией для третьих лиц, массовое уточнение границ, обязательная пространственная проверка документов до внесения записи, один устойчивый порядок установления кадастровой стоимости в размере рыночной, прямое описание последствий для лица, проверившего выписку, сохранение очного канала для заявителей без электронного навыка и разделение открытых сведений об объекте и ограниченных сведений о правообладателе. Сервисы второй очереди НСПД, введённой 23 декабря 2024 года, пригодны для предварительного поиска пересечений границ. Их эффект возрастёт, если такая проверка станет фильтром приёма, а не только справочной возможностью.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Практическое значение работы состоит в том, что качество информационного обеспечения предложено оценивать не валовым числом электронных заявлений, которое в Москве уже вышло на плато, а долей ошибок, дошедших до записи, сроком уточнения границ и устойчивостью правил кадастровой стоимости. Эти критерии могут использоваться при разборе практики регистрационного ведомства и при постановке задач оператору реестра. Дальнейшее исследование логично связать с измерением того, как сервисы платформы пространственных данных меняют долю приостановлений и споров о границах.</w:t>
      </w:r>
    </w:p>
    <w:p>
      <w:pPr>
        <w:pageBreakBefore/>
        <w:widowControl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СПИСОК ИСПОЛЬЗОВАННЫХ ИСТОЧНИКОВ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1. Российская Федерация. Законы. О государственной регистрации недвижимости : Федеральный закон № 218-ФЗ : принят Государственной Думой 3 июля 2015 года : одобрен Советом Федерации 8 июля 2015 года. – Текст : электронный // КонсультантПлюс : справочно-правовая система.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2. Росреестр: за 10 лет в Москве зарегистрировано свыше 6,5 млн онлайн-заявлений. – Текст : электронный // Единый ресурс застройщиков : [сайт]. – 2025. – URL: https://erzrf.ru/news/rosreyestr-za-10-let-v-moskve-zaregistrirovano-svyshe-65-mln-onlayn-zayavleniy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3. Мосин, А. Н. Цифровизация рынка недвижимости: преимущества и риски / А. Н. Мосин. – Текст : электронный // КиберЛенинка : научная электронная библиотека. – 2023. – URL: https://cyberleninka.ru/article/n/tsifrovizatsiya-rynka-nedvizhimosti-preimuschestva-i-riski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4. Рудоквас, А. Д. О влиянии регистрационной системы на оборот недвижимости / А. Д. Рудоквас // Вестник гражданского права. – 2022. – № 1.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5. Глубокая, В. И. Процесс цифровизации рынка недвижимости в Российской Федерации / В. И. Глубокая, Н. А. Куцева // Шаг в науку. – 2022. – № 2. – С. 49–52.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6. Российская Федерация. Законы. О государственной регистрации прав на недвижимое имущество и сделок с ним : Федеральный закон № 122-ФЗ : принят Государственной Думой 17 июня 1997 года (утратил силу). – Текст : электронный // КонсультантПлюс : справочно-правовая система.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7. Макарова, Е. Е. Современное состояние рынка недвижимости России в условиях цифровой экономики / Е. Е. Макарова, Е. Н. Сыщикова, З. Б. Проскурина // Наука Красноярья. – 2021. – Т. 10, № 3. – С. 71–86.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8. Конституция Российской Федерации : принята всенародным голосованием 12 декабря 1993 года : с изменениями, одобренными в ходе общероссийского голосования 1 июля 2020 года. – Текст : электронный // КонсультантПлюс : справочно-правовая система.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9. Российская Федерация. Законы. Гражданский кодекс Российской Федерации. Часть первая : Федеральный закон № 51-ФЗ : принят Государственной Думой 21 октября 1994 года. – Текст : электронный // КонсультантПлюс : справочно-правовая система.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10. Пожаров, И. В. Государственный кадастровый учет и государственная регистрация прав на недвижимое имущество / И. В. Пожаров. – Текст : электронный // КонсультантПлюс : справочно-правовая система. – 2022.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11. Российская Федерация. Законы. О государственной кадастровой оценке : Федеральный закон № 237-ФЗ : принят Государственной Думой 22 июня 2016 года. – Текст : электронный // КонсультантПлюс : справочно-правовая система.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12. Российская Федерация. Законы. Об оценочной деятельности в Российской Федерации : Федеральный закон № 135-ФЗ : принят Государственной Думой 16 июля 1998 года. – Текст : электронный // КонсультантПлюс : справочно-правовая система.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13. Российская Федерация. Законы. Налоговый кодекс Российской Федерации. Часть вторая : Федеральный закон № 117-ФЗ : принят Государственной Думой 19 июля 2000 года. – Текст : электронный // КонсультантПлюс : справочно-правовая система.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14. Как оспорить кадастровую стоимость и не переплачивать налог на имущество. – Текст : электронный // ГАРАНТ.РУ : [сайт]. – URL: https://www.garant.ru/actual/kadastr/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15. Российская Федерация. Правительство. О федеральной государственной географической информационной системе «Единая цифровая платформа „Национальная система пространственных данных“» : Постановление № 1040 : утверждено 7 июня 2022 года. – Текст : электронный // Официальное опубликование правовых актов : [сайт]. – URL: http://publication.pravo.gov.ru/Document/View/0001202206100048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16. Российская Федерация. Законы. О публично-правовой компании «Роскадастр» : Федеральный закон № 448-ФЗ : принят Государственной Думой 16 декабря 2021 года. – Текст : электронный // КонсультантПлюс : справочно-правовая система.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17. Достоверность сведений ЕГРН : подборка судебной практики, законодательства и статей. – Текст : электронный // КонсультантПлюс : справочно-правовая система. – URL: https://www.consultant.ru/law/podborki/dostovernost_svedenij_egrn/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18. Ефимова, Е. И. Особенности правового регулирования «лесной амнистии» для дачных земельных участков / Е. И. Ефимова // Экологическое право. – 2022. – № 4.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19. Молчанов, П. В. «Гаражная амнистия»: законодательство и практика (по результатам социологических исследований) / П. В. Молчанов // Административное право и процесс. – 2022. – № 7.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20. Роменко, В. А. Правовые проблемы контроля за уплатой физическими лицами налога на доходы от продажи недвижимого имущества / В. А. Роменко // Финансовое право. – 2022. – № 7.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21. Васючкова, О. А. Минимизация имущественных рисков: важные аспекты в земельных правоотношениях / О. А. Васючкова, Е. Ю. Волкова // Нотариус. – 2022. – № 5.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22. Публичная кадастровая карта перенесена на цифровую платформу «Национальная система пространственных данных». – Текст : электронный // Управление Росреестра по Республике Татарстан : [сайт]. – 2024. – URL: https://rosreestr.tatarstan.ru/index.htm/news/2373794.htm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23. Марат Хуснуллин: госпрограмма «Национальная система пространственных данных» по итогам 2023 года выполнена на 100 %. – Текст : электронный // Правительство России : официальный сайт. – 2023. – URL: http://government.ru/news/50985/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24. В Новосибирской области с начала года выдано более двух миллионов выписок из ЕГРН. – Текст : электронный // Официальный сайт города Новосибирска. – 2024. – URL: https://novo-sibirsk.ru/news/408608/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25. В региональном Роскадастре подвели итоги горячей линии о получении выписки из ЕГРН. – Текст : электронный // Официальный сайт города Новосибирска. – 2025. – URL: https://novo-sibirsk.ru/news/418460/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26. Росреестр по Москве: заявления «в цифре» выросли на 20 % за год. – Текст : электронный // Раменки : [сайт]. – 2024. – URL: https://ramenki-gazeta.ru/rosreestr-po-moskve-zajavlenija-v-cifre-vyrosli-na-20-za-god-1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27. В Москве число онлайн-заявлений на регистрацию недвижимости уменьшилось на 14,2 %. – Текст : электронный // ТАСС : [сайт]. – 2025. – 30 июня. – URL: https://tass.ru/nedvizhimost/24388733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28. Более 176 тыс. онлайн-заявлений юрлиц принял за январь – июль Росреестр в Москве. – Текст : электронный // Квартира.ру : [сайт]. – 2025. – URL: https://www.kvartiranew.ru/news_jmn7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29. Более трех миллионов выписок из ЕГРН выдал региональный Роскадастр в 2024 году. – Текст : электронный // Администрация города Бердска : [сайт]. – 2025. – URL: https://berdsk.nso.ru/news/45654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30. Общественный совет при омском Росреестре обсудил итоги работы Управления и филиала ППК «Роскадастр» за первое полугодие 2025 года. – Текст : электронный // Администрация Черлакского района : [сайт]. – 2025. – URL: https://cherlakskoe-r52.gosweb.gosuslugi.ru/dlya-zhiteley/novosti-i-reportazhi/novosti_38.html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31. Росреестр : оперативные итоги июня 2025 года по Омской области. – Текст : электронный // Администрация Москаленского района : [сайт]. – 2025. – URL: https://moskalenskoe-moskalenskij-r52.gosweb.gosuslugi.ru/dlya-zhiteley/novosti-i-reportazhi/novosti_111.html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32. Комиссаров, Г. А. Государственный протекционизм в делах об оспаривании кадастровой стоимости / Г. А. Комиссаров // Имущественные отношения в Российской Федерации. – 2022. – № 9.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33. Киселева, Н. А. Правовое регулирование и вопросы правоприменения института оценки / Н. А. Киселева // Государственная власть и местное самоуправление. – 2023. – № 12.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34. Национальная система пространственных данных. – Текст : электронный // Федеральная служба государственной регистрации, кадастра и картографии : официальный сайт. – URL: https://rosreestr.gov.ru/activity/gosudarstvennye-programmy/natsionalnaya-sistema-prostranstvennykh-dannykh/ (дата обращения: 08.10.2026).</w:t>
      </w:r>
    </w:p>
    <w:p>
      <w:pPr>
        <w:pageBreakBefore/>
        <w:widowControl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ПРИЛОЖЕНИЕ А</w:t>
      </w:r>
    </w:p>
    <w:p>
      <w:pPr>
        <w:widowControl/>
        <w:spacing w:line="360" w:lineRule="auto" w:before="12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Расчёт показателей динамики электронных заявлений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Исходный ряд – число электронных заявлений, принятых Управлением Росреестра по Москве на регистрацию прав и постановку на кадастровый учёт, первое полугодие. Значения 2022–2024 годов взяты из сообщения управления о результатах января – июня 2024 года, значение 2025 года – из сообщения о десятилетнем ряде и первом полугодии 2025 года [26], [2].</w:t>
      </w:r>
    </w:p>
    <w:p>
      <w:pPr>
        <w:widowControl/>
        <w:spacing w:line="360" w:lineRule="auto" w:before="20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Таблица А.1 – Подстановка в формулу цепного темпа прироста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587"/>
        <w:gridCol w:w="1587"/>
        <w:gridCol w:w="3175"/>
        <w:gridCol w:w="1474"/>
      </w:tblGrid>
      <w:tr>
        <w:trPr>
          <w:tblHeader/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Переход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Yt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Yt–1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Расчёт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Т, %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2023 к 2022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653 938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415 547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(653 938 / 415 547 – 1) × 100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57,4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2024 к 2023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781 597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653 938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(781 597 / 653 938 – 1) × 100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19,5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2025 к 2024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788 817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781 597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(788 817 / 781 597 – 1) × 100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0,9</w:t>
            </w:r>
          </w:p>
        </w:tc>
      </w:tr>
    </w:tbl>
    <w:p>
      <w:pPr>
        <w:widowControl/>
        <w:spacing w:line="240" w:lineRule="auto" w:before="40" w:after="120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  <w:lang w:val="ru-RU" w:eastAsia="ru-RU"/>
        </w:rPr>
        <w:t>Примечание – Рассчитано автором. Результат округлён до одного знака после запятой.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Базисный темп к 2022 году: для 2024 года (781 597 / 415 547 – 1) × 100 % = 88,1 %; для 2025 года (788 817 / 415 547 – 1) × 100 % = 89,8 %. Среднегодовой темп за три интервала:</w:t>
      </w:r>
    </w:p>
    <w:p>
      <w:pPr>
        <w:widowControl/>
        <w:spacing w:line="360" w:lineRule="auto" w:before="120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Тср = ((788 817 / 415 547) ^ (1/3) – 1) × 100 % = (1,8983 ^ (1/3) – 1) × 100 % = 23,8 %.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Дополнительные контрольные соотношения, использованные в параграфе 2.3. Июнь 2025 года к июню 2024 года: (126 992 / 132 017 – 1) × 100 % = −3,8 %. Июнь 2025 года к маю 2025 года: (126 992 / 117 458 – 1) × 100 % = 8,1 %. Май 2025 года к маю 2024 года: (117 458 / 136 912 – 1) × 100 % = −14,2 % [2], [27]. Январь – июль 2025 года, заявления юридических лиц: (176,4 / 150,1 – 1) × 100 % = 17,6 %; к 2023 году (176,4 / 125,6 – 1) × 100 % = 40,4 % [28]. В тексте главы результат сопоставлен с опубликованным ведомством округлением 40,5 %; расхождение в 0,1 пункта объясняется округлением исходных тысяч.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Доля электронных заявлений в Омской области в июне 2025 года: 14 427 / 21 563 × 100 % = 66,9 %, в публикации ведомства – 67 %. В мае: 12 328 / 19 889 × 100 % = 62,0 %, что совпадает с опубликованной долей [31].</w:t>
      </w:r>
    </w:p>
    <w:p>
      <w:pPr>
        <w:pageBreakBefore/>
        <w:widowControl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ПРИЛОЖЕНИЕ Б</w:t>
      </w:r>
    </w:p>
    <w:p>
      <w:pPr>
        <w:widowControl/>
        <w:spacing w:line="360" w:lineRule="auto" w:before="12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Схема движения сведений между участником рынка и реестром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Схема показывает, как запрос или заявление участника рынка доходит до записи ЕГРН и возвращается в виде выписки либо открытых пространственных данных. Росреестр и ППК «Роскадастр» разделены по ролям: правовая экспертиза и регистрация прав, с одной стороны, кадастровый учёт и подготовка сведений, с другой. Платформа НСПД указана как среда показа и предварительной пространственной проверки, а не как замена реестра (рисунок Б.1).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7791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79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before="40" w:after="16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Рисунок Б.1 – Движение сведений между участником рынка, Росреестром, ППК «Роскадастр» и ЕГРН (составлено автором)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Схема поясняет вывод основной части. Удобство верхнего блока – способа подачи – уже высоко на крупных рынках. Качество нижнего блока – самой записи – зависит от того, какие документы прошли экспертизу и были ли пересечения границ отсечены до внесения. Поэтому меры третьей главы сосредоточены на содержании записи и на фильтре приёма, а не на создании ещё одного канала обращения.</w:t>
      </w:r>
    </w:p>
    <w:sectPr w:rsidR="00FC693F" w:rsidRPr="0006063C" w:rsidSect="00034616">
      <w:headerReference w:type="default" r:id="rId9"/>
      <w:headerReference w:type="first" r:id="rId10"/>
      <w:pgSz w:w="11906" w:h="16838"/>
      <w:pgMar w:top="1134" w:right="567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  <w:jc w:val="center"/>
    </w:pPr>
    <w:r>
      <w:rPr>
        <w:rFonts w:ascii="Times New Roman" w:hAnsi="Times New Roman" w:eastAsia="Times New Roman"/>
        <w:b w:val="0"/>
        <w:i w:val="0"/>
        <w:color w:val="000000"/>
        <w:sz w:val="28"/>
        <w:lang w:val="ru-RU" w:eastAsia="ru-RU"/>
      </w:rPr>
      <w:fldChar w:fldCharType="begin"/>
      <w:instrText xml:space="preserve"> PAGE 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