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Образовательное частное учреждение высшего образования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«МОСКОВСКИЙ ФИНАНСОВО-ЮРИДИЧЕСКИЙ УНИВЕРСИТЕТ МФЮА»</w:t>
      </w:r>
    </w:p>
    <w:p>
      <w:pPr>
        <w:widowControl/>
        <w:spacing w:line="360" w:lineRule="auto" w:before="36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Кафедра [наименование кафедры]</w:t>
      </w:r>
    </w:p>
    <w:p>
      <w:pPr>
        <w:widowControl/>
        <w:spacing w:line="360" w:lineRule="auto" w:before="56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КУРСОВАЯ РАБОТА</w:t>
      </w:r>
    </w:p>
    <w:p>
      <w:pPr>
        <w:widowControl/>
        <w:spacing w:line="360" w:lineRule="auto" w:before="24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 дисциплине «Основы ведения единого государственного реестра недвижимости»</w:t>
      </w:r>
    </w:p>
    <w:p>
      <w:pPr>
        <w:widowControl/>
        <w:spacing w:line="360" w:lineRule="auto" w:before="32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на тему:</w:t>
      </w:r>
    </w:p>
    <w:p>
      <w:pPr>
        <w:widowControl/>
        <w:spacing w:line="360" w:lineRule="auto" w:before="120" w:after="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«Единый государственный реестр недвижимости как информационное обеспечение рынка недвижимости»</w:t>
      </w:r>
    </w:p>
    <w:p>
      <w:pPr>
        <w:widowControl/>
        <w:spacing w:line="360" w:lineRule="auto" w:before="7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Выполнил(а): студент(ка) [ФИО]</w:t>
      </w:r>
    </w:p>
    <w:p>
      <w:pPr>
        <w:widowControl/>
        <w:spacing w:line="360" w:lineRule="auto" w:before="1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Группа: [номер группы]</w:t>
      </w:r>
    </w:p>
    <w:p>
      <w:pPr>
        <w:widowControl/>
        <w:spacing w:line="360" w:lineRule="auto" w:before="120" w:after="0"/>
        <w:ind w:firstLine="0" w:left="4252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Научный руководитель: [должность, ФИО]</w:t>
      </w:r>
    </w:p>
    <w:p>
      <w:pPr>
        <w:widowControl/>
        <w:spacing w:line="360" w:lineRule="auto" w:before="960" w:after="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Москва 2026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ОГЛАВЛЕНИЕ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СОКРАЩЕНИЙ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ВВЕДЕНИЕ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 Теоретические основы функционирования Единого государственного реестра недвижимости как информационной системы рынка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1.1 Понятие и предпосылки формирования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1.2 Нормативно-правовое регулирование ведения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9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1.3 Роль Единого государственного реестра недвижимости в информационном обеспечении рынка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12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 Анализ практики использования Единого государственного реестра недвижимости по материалам Росреестра и ППК «Роскадастр»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15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2.1 Состав сведений реестра и их информационное назначение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15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2.2 Порядок и способы предоставления сведений участникам рынка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18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2.3 Оценка результатов использования сведений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20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 Проблемы и направления совершенствования Единого государственного реестра недвижимости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3.1 Проблемы, снижающие качество информационного обеспечения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26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3.2 Правовые и организационные меры совершенствования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28</w:t>
      </w:r>
    </w:p>
    <w:p>
      <w:pPr>
        <w:tabs>
          <w:tab w:pos="9638" w:val="right" w:leader="dot"/>
        </w:tabs>
        <w:spacing w:line="360" w:lineRule="auto" w:before="0" w:after="0"/>
        <w:ind w:firstLine="0" w:left="709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3.3 Цифровая трансформация и качество сведений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31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ЗАКЛЮЧЕНИЕ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33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ИСПОЛЬЗОВАННЫХ ИСТОЧНИКОВ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35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ПРИЛОЖЕНИЕ А Расчёт показателей динамики электронных заявлений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41</w:t>
      </w:r>
    </w:p>
    <w:p>
      <w:pPr>
        <w:tabs>
          <w:tab w:pos="9638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ПРИЛОЖЕНИЕ Б Схема движения сведений между участником рынка и реестром</w:t>
      </w: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ab/>
        <w:t>43</w:t>
      </w:r>
    </w:p>
    <w:p>
      <w:pPr>
        <w:pageBreakBefore/>
        <w:widowControl/>
        <w:spacing w:line="360" w:lineRule="auto" w:before="240" w:after="16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СОКРАЩЕНИЙ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ГК РФ – Гражданский кодекс Российской Федерации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ЕГРН – Единый государственный реестр недвижимости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ЕГРП – Единый государственный реестр прав на недвижимое имущество и сделок с ним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МФЦ – многофункциональный центр предоставления государственных и муниципальных услуг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НК РФ – Налоговый кодекс Российской Федерации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НСПД – Национальная система пространственных данных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ППК – публично-правовая компания</w:t>
      </w:r>
    </w:p>
    <w:p>
      <w:pPr>
        <w:widowControl/>
        <w:spacing w:line="360" w:lineRule="auto" w:before="0" w:after="40"/>
        <w:ind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Росреестр – Федеральная служба государственной регистрации, кадастра и картографии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ВВЕДЕНИЕ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Рынок недвижимости характеризуется тем, что объект сделки нельзя переместить, а права на него подтверждаются данными публичного учёта. Недостоверная запись о правообладателе, границе или обременении может остановить сделку, затруднить выдачу кредита или привести к судебному спору. Поэтому сведения об объекте и о правах на него являются условием оборота. Основным юридически значимым источником таких сведений в Российской Федерации является Единый государственный реестр недвижимости (далее – ЕГРН). Порядок его ведения установлен Федеральным законом от 13.07.2015 № 218-ФЗ «О государственной регистрации недвижимости» [1].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Актуальность исследования обусловлена несколькими обстоятельствами. Во-первых, реестр стремительно превращается из учётной базы в цифровую платформу: только в Москве за июнь 2026 года Управлением Росреестра по Москве принято 140 119 заявлений в электронном виде на регистрацию прав и постановку на кадастровый учёт объектов недвижимости. Рост показателя за месяц составил 15 % (121 991 заявление в мае 2026 года). В годовом выражении также отмечается положительная динамика на 10 % (126 992 заявления в июне 2025 года). Всего в I полугодии 2026 года принято 798 073 электронных заявления, что на 1 % превышает аналогичный период 2025 года (788 817) и на 2 % – шесть месяцев 2024 года (781 597) [2]. Во-вторых, сведения ЕГРН используются при кредитовании, налогообложении, оценке и градостроительном планировании, поэтому от их полноты зависят решения разных участников рынка [3]. В-третьих, при переходе к электронным услугам сохраняются вопросы достоверности и полноты данных, а также дискуссия о том, в какой мере действует принцип публичной достоверности реестра [4].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Цель исследования – раскрыть роль ЕГРН как информационного обеспечения рынка недвижимости и обосновать направления повышения эффективности его использования.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достижения цели поставлены задачи: раскрыть понятие ЕГРН и причины объединения кадастрового учёта с регистрацией прав; описать нормативную основу ведения реестра и спорные места этой основы; определить функции реестра в информационном обеспечении рынка; разобрать состав сведений и каналы их получения; оценить практику использования сведений по материалам Росреестра и публично-правовой компании «Роскадастр»; выделить проблемы и предложить правовые, организационные и цифровые меры.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Объект исследования – информационное обеспечение рынка недвижимости Российской Федерации. Предмет исследования – содержание сведений ЕГРН, порядок их ведения и предоставления, а также практика работы Управления Росреестра по Москве и филиалов ППК «Роскадастр», через которые эти сведения доходят до участников рынка.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работе использованы формально-юридический метод, системный подход, сравнение и статистический анализ. Динамика электронных заявлений оценена цепными темпами прироста и среднегодовым темпом. Нормативную основу составили Конституция Российской Федерации, Гражданский кодекс Российской Федерации, федеральные законы № 218-ФЗ, № 237-ФЗ, № 221-ФЗ, № 135-ФЗ и № 28-ФЗ, постановление Правительства Российской Федерации от 07.06.2022 № 1040. Фактическую основу составили учебное пособие по основам кадастра недвижимости, сообщения Росреестра и ППК «Роскадастр» за 2022–2026 годы и научные публикации 2021–2023 годов. Расчёт показателей приведён в приложении 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Работа включает введение, три главы, заключение, список использованных источников и два приложения. Первая глава посвящена понятию, правовым основам и функциям реестра. Вторая глава содержит анализ состава сведений, способов их выдачи и показателей деятельности регистрационного ведомства. В третьей главе сформулированы проблемы и предложения по их устранению.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 Теоретические основы функционирования Единого государственного реестра недвижимости как информационной системы рынка недвижимости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1.1 Понятие и предпосылки формирования Единого государственного реестра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Объекты недвижимости отличаются от иных предметов оборота тремя признаками: их нельзя переместить, каждый объект уникален, а на один и тот же участок или помещение могут одновременно существовать право собственности, аренда, ипотека, сервитут и арест. Поэтому стороны сделки изначально располагают разным объёмом информации. Продавец знает историю владения, а покупатель видит только представленные ему сведения. Ошибка в таких сведениях касается не замены товара, а права, которое подтверждается публичной записью. Исследователи цифровизации рынка связывают его развитие с качеством информационной базы [5, с. 50].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учебной литературе формирование ЕГРН условно разделяют на три этапа: 1551–1990 гг., 1990–2000 гг. и 2000–2015 гг. Для настоящей работы основное значение имеет третий этап, поскольку именно тогда сложился прообраз действующего реестра [6, с. 4]. На этом этапе был принят Федеральный закон от 02.01.2000 № 28-ФЗ «О государственном земельном кадастре». Он предусмотрел государственный кадастровый учёт земельных участков, но не распространил его на иные объекты недвижимости [7]. В 2007 году принят Федеральный закон № 221-ФЗ «О государственном кадастре недвижимости». По этому закону в государственный кадастр недвижимости вносились сведения не только об объектах недвижимости, но и о границах между субъектами Российской Федерации, границах муниципальных образований и населённых пунктов, о территориальных зонах и зонах с особыми условиями использования территории [8]. С 2008 года ведение кадастра недвижимости, регистрация прав и связанные с ними функции перешли к Росреестру, который объединил Роснедвижимость, Роскартографию и Росрегистрацию [6, с. 5].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Правовые сведения при этом продолжали вестись отдельно. Единый государственный реестр прав на недвижимое имущество и сделок с ним был создан на основании Федерального закона от 21.07.1997 № 122-ФЗ и содержал сведения о правах, ограничениях и обременениях [9]. Кадастровый учёт и регистрация прав осуществлялись как самостоятельные процедуры и нередко по разным заявлениям. Сведения об одном объекте могли не совпадать, а участнику рынка приходилось обращаться повторно. Для сделки, результат которой зависит от совпадения площади, границ и сведений о правообладателе, такое расхождение создавало риск спора.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 июля 2016 года Федеральный закон № 221-ФЗ изменил наименование и стал называться «О кадастровой деятельности». После этого он сохранил значение основного акта для кадастровых инженеров, а правила учёта и регистрации прав перешли к Федеральному закону № 218-ФЗ, вступившему в силу 1 января 2017 года [8], [1]. ЕГРН объединил государственный кадастр недвижимости и реестр прав. В законе реестр определён как свод достоверных систематизированных сведений об учтённом недвижимом имуществе, о зарегистрированных правах на него, об основаниях их возникновения, о правообладателях и об иных предусмотренных сведениях [1]. Тем самым участник рынка получил единую точку доступа к техническим и правовым сведениям, а государство – общие правила их проверки и обновления. С 2017 года ЕГРН является основным источником информации по учтённым объектам недвижимости [6, с. 5].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Сопоставление прежней и действующей моделей приведено в таблице 1. Из неё видно, что изменились не только носитель и название ресурса. Изменился сам порядок, в котором техническое описание объекта встречается с записью о праве.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1 – Модели учёта недвижимости до и после 1 января 2017 г.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288"/>
        <w:gridCol w:w="3288"/>
      </w:tblGrid>
      <w:tr>
        <w:trPr>
          <w:tblHeader/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Признак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До 2017 г.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С 2017 г.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Ресурсы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 недвижимости и ЕГРП ведутся раздельно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Единый государственный реестр недвижимости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Состав сведений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Технические и правовые данные хранятся в разных системах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Технические, правовые и пространственные сведения сведены вместе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Учёт и регистрация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правило, разные заявления и разные процедуры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Одна процедура, если учёт и регистрация нужны одновременно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Правовая основа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Отдельные законы о кадастре и о регистрации прав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Федеральный закон № 218-ФЗ</w:t>
            </w:r>
          </w:p>
        </w:tc>
      </w:tr>
      <w:tr>
        <w:trPr>
          <w:cantSplit/>
        </w:trPr>
        <w:tc>
          <w:tcPr>
            <w:tcW w:type="dxa" w:w="306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Форма ведения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Значительная доля бумажных документов</w:t>
            </w:r>
          </w:p>
        </w:tc>
        <w:tc>
          <w:tcPr>
            <w:tcW w:type="dxa" w:w="328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Преимущественно электронная форма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[9], [7], [8], [6, с. 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1 показывает, за счёт чего реестр смог стать информационной основой рынка, а не только внутренней базой ведомства. Единая процедура снимает разрыв во времени между постановкой объекта на учёт и признанием права. Пока эти действия разведены, покупатель может увидеть кадастровый номер и при этом не увидеть актуального правообладателя либо, напротив, увидеть право на объект, границы которого не уточнены. Именно такие разрывы питают споры о предмете сделки.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У ЕГРН два взаимосвязанных свойства. С одной стороны, это информационный ресурс, в котором накапливаются и систематизируются данные. С другой – это способ государственного подтверждения прав. Закон называет государственную регистрацию прав юридическим актом признания и подтверждения возникновения, изменения, перехода или прекращения права либо обременения и единственным доказательством существования зарегистрированного права [1]. Запись не только сообщает сведения, но и влечёт правовые последствия. Поэтому участники рынка опираются на неё, а не на объявление, справку продавца или внутренний отчёт застройщика. В условиях цифровой экономики решения на рынке зависят от скорости получения и полноты таких данных [10, с. 74]. По учебному пособию, сведения реестра используются при налогообложении и расчёте арендной платы на основе кадастровой стоимости, при разрешении земельных споров и восстановлении границ, а также при определении правового режима участка по категории земель и виду разрешённого использования [6, с. 5].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в настоящей работе ЕГРН рассматривается как публичная информационная система, которая описывает объект, подтверждает право и обеспечивает участников рынка сведениями для экономических решений. Реестр понадобился для снижения неопределённости сделки. Далее рассматриваются правовые основы этой системы и её функции.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1.2 Нормативно-правовое регулирование ведения Единого государственного реестра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Правовое регулирование ЕГРН имеет несколько уровней. Конституция Российской Федерации гарантирует право собственности и его защиту [11]. Гражданский кодекс Российской Федерации устанавливает, что право собственности и другие вещные права на недвижимые вещи, ограничения этих прав, их возникновение, переход и прекращение подлежат государственной регистрации и ведутся в едином государственном реестре [12]. Статья 8.1 кодекса задаёт общие правила регистрации прав на имущество: она связывает запись в реестре с моментом возникновения права в случаях, предусмотренных законом, и защищает лицо, которое добросовестно положилось на данные реестра.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Специальный закон детализирует эти правила. Федеральный закон № 218-ФЗ определяет состав сведений, основания и сроки кадастрового учёта и регистрации прав, случаи приостановления и отказа, порядок исправления ошибок, правила предоставления сведений и информационного взаимодействия [1]. Для заявителя, кадастрового инженера, нотариуса, банка и органа власти это единый набор обязанностей и сроков. Комментаторская литература подчёркивает, что учёт и регистрация после 2017 года образуют связанную процедуру, а не два независимых производства [13].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Отдельный блок норм связан с кадастровой стоимостью, которая вносится в реестр и используется при исчислении налогов. Её определение и установление в размере рыночной стоимости регулируются Федеральным законом от 03.07.2016 № 237-ФЗ «О государственной кадастровой оценке» [14]. Закон об оценочной деятельности сохраняет значение для результатов, полученных по прежним правилам [15]. Практическое значение этих норм состоит в том, что налоговая база по земельному налогу и налогу на имущество физических лиц определяется исходя из кадастровой стоимости [16]. Если стоимость в реестре отличается от рыночной, налогоплательщик обращается за её пересмотром [17]. Неустойчивость порядка пересмотра затрудняет использование сведений реестра. Этот вопрос рассмотрен в третьей главе.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Пространственная оболочка реестра задана постановлением Правительства Российской Федерации от 07.06.2022 № 1040. Этим актом утверждено положение о федеральной государственной географической информационной системе «Единая цифровая платформа „Национальная система пространственных данных“» [18]. Платформа не заменяет ЕГРН, а соединяет его сведения с иными пространственными данными. Эти системы следует различать: юридическую силу зарегистрированного права создаёт запись ЕГРН, а платформа изменяет способ поиска, отображения и сопоставления сведений.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Ведение реестра организационно разделено. Политику и нормативное регулирование осуществляет Федеральная служба государственной регистрации, кадастра и картографии. Учётную и технологическую работу выполняет публично-правовая компания «Роскадастр», правовой статус которой установлен Федеральным законом от 30.12.2021 № 448-ФЗ [19]. Компания приступила к работе в 2023 году на базе прежней кадастровой палаты. Такое разделение типично для крупных государственных информационных систем: регулятор задаёт правила, оператор исполняет учётные действия и выдаёт сведения. Для исследования это важно, потому что практическая глава оценивает не абстрактный рынок, а деятельность именно этих организаций.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Центральным и одновременно спорным элементом правового режима является принцип публичной достоверности. По общему правилу сведения реестра считаются достоверными, пока не доказано иное, а лицо, которое на них положилось, защищается законом [12]. Судебная практика регулярно обращается к вопросу о том, можно ли опровергнуть запись и какие последствия это имеет для добросовестного приобретателя [20]. А. Д. Рудоквас отмечает, что публичная достоверность закреплена в кодексе, однако на практике её смешивают с защитой добросовестного приобретателя, сформированной для оборота движимых вещей [4]. С этой оценкой следует согласиться. Если приобретатель, проверивший выписку, не получает ясной защиты при последующем аннулировании записи, информационное значение реестра снижается. Участники рынка доверяют записи в той мере, в какой закон защищает лицо, на неё полагавшееся. Следовательно, требуется уточнить эту гарантию, а не ограничиваться общей ссылкой на добросовестность.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Нормативная база не стоит на месте ещё и потому, что в реестр продолжают вовлекать ранее возникшие права. «Дачная», «гаражная» и «лесная» амнистии расширяют круг объектов, сведения о которых можно внести в упрощённом порядке. Правовой режим «лесной амнистии» для дачных участков разобран Е. И. Ефимовой [21], практика «гаражной амнистии» – П. В. Молчановым [22]. Для информационного обеспечения рынка эти законы имеют двойной результат. Они повышают полноту реестра и одновременно требуют гарантий для третьих лиц: упрощённая запись не должна создавать видимость чистоты там, где границы или права соседей не проверены.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нормативную основу ЕГРН образуют конституционная гарантия собственности, общие правила кодекса, специальный регистрационный закон, законодательство о кадастровой оценке и акт о платформе пространственных данных. Спор о публичной достоверности показывает, что формальное наличие нормы ещё не равно её рыночному эффекту. Этот вывод понадобится при оценке практики и при формулировке предложений.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1.3 Роль Единого государственного реестра недвижимости в информационном обеспечении рынка недвижимости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Под информационным обеспечением рынка недвижимости в настоящей работе понимается совокупность сведений и способов их получения, которые позволяют участнику принять обоснованное решение о приобретении, отчуждении, залоге, оценке, налогообложении или ином использовании объекта. Цифровизация перевела значительную часть этих сведений в электронный вид и тем самым удешевила поиск и проверку [5, с. 51]. В этом наборе источников ЕГРН занимает центральное место не потому, что других баз нет, а потому, что базы объявлений, отчёты застройщиков и маркетинговые обзоры не обладают силой зарегистрированного права [3].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Роль реестра целесообразно раскрыть через функции, которые он выполняет в обороте недвижимости.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Правоудостоверяющая функция состоит в том, что возникновение, переход и прекращение права фиксируются записью. Это снижает риск последующего спора о том, кому объект принадлежал на дату сделки. Информационно-справочная функция даёт доступ к сведениям об объекте и о правах. Фискальная функция связывает кадастровую стоимость с налоговой базой [16]. Аналитическая функция поставляет данные для мониторинга рынка, градостроительных и инвестиционных решений. Охранительная функция должна защищать того, кто положился на реестр. Последняя функция, как показано в параграфе 1.2, реализована слабее остальных, и это ограничивает доверие к первым четырём.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Фискальная связь заслуживает отдельного пояснения. Налоговые органы получают от Росреестра сведения о сделках, что позволяет контролировать налог на доходы физических лиц при продаже имущества [23]. Реестр связывает оборот недвижимости и бюджетную систему. Ошибка в кадастровой стоимости или в сведениях о правообладателе затрагивает не только стороны договора, но и налоговое администрирование.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Разным участникам нужны разные фрагменты одной и той же записи. Это распределение показано в таблице 2.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2 – Сведения ЕГРН, востребованные участниками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Участник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Решение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Какие сведения нужны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Покупатель, арендатор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Заключать ли сделку и на каких условиях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обременения, площадь, назначение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Банк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Выдавать ли кредит и регистрировать ли залог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Права, аресты, история перехода, ограничения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Нотариус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Удостоверять ли сделку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доли, ограничения, дееспособность связки документов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Оценщик, инвестор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Какова стоимость и каков риск проекта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Характеристики объекта, кадастровая стоимость, зоны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Налоговый орган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исчислить налог и проверить доход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цена сделки, кадастровая стоимость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Орган власти, суд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Как планировать территорию и разрешить спор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Границы, зоны, история прав, документы-основания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[3], [23], [16].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2 позволяет увидеть, что потребность в реестре возникает на всём жизненном цикле объекта, а не только в момент купли-продажи. Особенно наглядна предварительная проверка земельного участка. Юристы описывают случаи, когда запрет капитального строительства обнаруживается уже после возведения построек, хотя ограничение можно было установить по сведениям о зонах и виде разрешённого использования заранее [24]. Такие примеры переводят разговор о реестре из области общих деклараций в область конкретных потерь: стоимость сноса, невозможность ввода объекта, спор с соседом.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Проведённый в главе анализ позволяет сделать следующие выводы. ЕГРН возник как ответ на разрыв между кадастровым описанием объекта и регистрацией прав. Его правовая сила выше, чем у частных информационных баз, потому что регистрация признана единственным доказательством зарегистрированного права. Реестр обслуживает сделки, кредит, налог, оценку и управление территорией, однако охранительная функция, связанная с публичной достоверностью, остаётся предметом научной критики. Чтобы судить, выполняет ли реестр роль информационного обеспечения на деле, недостаточно разобрать нормы. Нужно посмотреть, из каких частей состоит запись, как она выдаётся и что показывает статистика организаций, которые её ведут. Этому посвящена вторая глава.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 Анализ практики использования Единого государственного реестра недвижимости по материалам Росреестра и ППК «Роскадастр»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2.1 Состав сведений реестра и их информационное назначение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Практическая часть построена на деятельности организаций, которые непосредственно ведут реестр и выдают его сведения. Федеральная служба государственной регистрации, кадастра и картографии определяет политику и проводит правовую экспертизу при регистрации прав. ППК «Роскадастр» обеспечивает кадастровый учёт, подготовку и выдачу сведений. Основной статистический ряд взят по Управлению Росреестра по Москве: это крупнейший региональный рынок, и по нему опубликована сопоставимая полугодовая динамика электронных заявлений. Филиалы в Новосибирской и Омской областях привлечены как контраст, а не как вторая тема. Такой выбор позволяет оценить и устройство сведений, и то, как организация доводит их до заявителя.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Состав ЕГРН определён статьёй 7 Федерального закона № 218-ФЗ. Реестр включает реестр объектов недвижимости, реестр прав, ограничений прав и обременений недвижимого имущества, реестр сведений о границах, а также реестровые дела, кадастровые карты и книги учёта документов [1]. Общая схема приведена на рисунке 1.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1376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tru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376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1 – Структура Единого государственного реестра недвижимости (составлено автором по: [1])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1 показывает, на какие вопросы отвечает каждая часть реестра. Реестр объектов недвижимости отвечает на вопрос, что это за объект: кадастровый номер, вид, адрес или описание местоположения, площадь, назначение, вид разрешённого использования, кадастровая стоимость. Реестр прав отвечает на вопрос, кому объект принадлежит и чем обременён: правообладатель, вид и основание права, ипотека, аренда, сервитут, арест. Реестр границ фиксирует границы населённых пунктов, территориальных зон, зон с особыми условиями использования территории. Реестровые дела хранят документы-основания. Кадастровые карты дают пространственное изображение. Книги учёта документов фиксируют входящий поток. Содержание частей сведено в таблице 3.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3 – Части ЕГРН и их значение для участника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Часть реестра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Основные сведения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Для какого решения используются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объектов недвижимости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Кадастровый номер, адрес, площадь, назначение, 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Опознать объект, оценить его, исчислить налог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прав, ограничений и обременений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Правообладатель, вид и основание права, ипотека, аренда, арест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Проверить юридическую чистоту и решить вопрос о сделке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 границ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Границы населённых пунктов, территориальных и иных зон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Увидеть градостроительные ограничения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Реестровые дела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Документы-основания учётно-регистрационных действий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Подтвердить законность записи, разрешить спор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Кадастровые карты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Пространственное отображение объектов и зон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Сопоставить объект с окружением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Книги учёта документов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Сведения о принятых документах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Проследить движение заявления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Публичная кадастровая карта перенесена на платформу НСПД с сохранением обязательных слоёв: со страницы карты можно перейти к сервисам или запросить выписку [25]. Карта удобна для предварительной проверки, но сделку и суд опирают на выписку из реестра, а не на открытый слой.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Сведения вносятся в ЕГРН из нескольких источников. Кадастровый инженер готовит межевой или технический план. Правоустанавливающие документы – договоры, судебные акты, свидетельства о праве на наследство – подтверждают основание права. Органы власти сообщают об изменении категории земель, о зонировании и о присвоении адреса. Часть данных поступает в порядке межведомственного информационного взаимодействия, без отдельного обращения правообладателя [1]. Различие источников объясняет, почему регистратор проводит правовую экспертизу документов. Качество реестра зависит от качества поступающих сведений. Ошибочная координата в межевом плане после внесения в реестр приобретает вид официальной записи.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Отдельную группу составляют ранее учтённые объекты: в записи часто отсутствуют точные границы или актуальные сведения о правообладателе. Государственная программа «Национальная система пространственных данных» предусматривает повышение полноты и качества сведений ЕГРН. По итогам 2023 года Правительство Российской Федерации сообщило о её полном выполнении [26]. Такой отчёт означает исполнение мероприятий года, а не отсутствие пробелов в реестре. Для участника рынка это различие существенно: отсутствие в выписке сведений о границе само по себе не подтверждает отсутствие спора о границе.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состав ЕГРН охватывает описание объекта, права, границы и документы-основания. Слабым местом является не число разделов, а неполнота сведений о ранее учтённых объектах. Порядок предоставления этих сведений рассмотрен далее.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2.2 Порядок и способы предоставления сведений участникам рынка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Сведения ЕГРН предоставляются по запросу в форме выписок и копий документов. Наиболее востребованы выписка об основных характеристиках и зарегистрированных правах, выписка о переходе прав, выписка о правах отдельного лица на имевшиеся или имеющиеся у него объекты и выписка о кадастровой стоимости [1]. Выбор вида выписки – часть информационной работы, а не формальность. Текущему покупателю обычно достаточно выписки о характеристиках и правах. Банку и покупателю со сложной историей владения нужна выписка о переходе прав, иначе цепочка собственников остаётся непроверенной.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Получить сведения можно несколькими способами. Гражданин, не пользующийся электронными сервисами, обращается в многофункциональный центр. Дистанционный запрос подаётся через сайт Росреестра и портал государственных услуг. Открытый просмотр без юридической силы выписки даёт публичная кадастровая карта на платформе НСПД. Банки, нотариусы и органы власти используют программные интерфейсы и автоматизированный обмен. Сравнение способов приведено в таблице 4.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4 – Способы получения сведений из ЕГРН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Способ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Кто им пользуется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важно для рынка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Многофункциональный центр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Граждане, которым неудобен электронный канал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Личный приём, бумажная или электронная форма документов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Сайт Росреестра и портал государственных услуг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Граждане, организации, риелторы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Дистанционный запрос, подпись, оплата без визита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Публичная кадастровая карта на платформе НСПД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Любое заинтересованное лицо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Открытые данные об объекте, границах и зонах; выписку не заменяет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Программные интерфейсы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Банки, нотариусы, органы власти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Массовые запросы и встраивание сведений в собственные системы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[25], [27].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4 разделяет открытый просмотр сведений и их юридически значимое предоставление. Публичная кадастровая карта упрощает предварительное ознакомление с объектом, однако не заменяет выписку. Выписка фиксирует сведения на дату запроса и используется при совершении сделки. Поэтому эффективность информационного обеспечения нельзя оценивать только по числу обращений к карте. Она определяется тем, получена ли нужная выписка в установленный срок и верно ли она использована.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сделок, в которых покупатель и объект находятся в разных регионах, имеет значение экстерриториальный принцип. Документы на кадастровый учёт и регистрацию прав можно представить независимо от места нахождения объекта [1]. Это снижает затраты участников межрегионального оборота. Для ипотеки установлен сокращённый срок: при электронном взаимодействии кредитной организации с Росреестром регистрация ипотеки может быть проведена в течение одного рабочего дня [1]. До завершения регистрации залога предоставление кредита замедляется.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Цена доступа тоже направляет выбор канала. В 2024 году в Новосибирской области выписка об основных характеристиках и правах стоила физическому лицу 460 рублей на бумаге и 290 рублей в электронном виде; электронная выдача занимала три дня, бумажная через МФЦ – дольше на два дня [27]. С 1 января 2025 года по приказу Росреестра от 28.10.2024 № П/0335/24 плата составляет 920 и 570 рублей соответственно [28]. Электронный документ остаётся дешевле, поэтому канал сохраняет преимущество, но более высокая плата ограничивает частые проверочные запросы граждан.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Динамика электронного взаимодействия в Москве за десять лет показывает, что такой способ предоставления сведений получил устойчивый характер. Если в 2015 году электронных заявлений было около одной тысячи, то по итогам 2024 года их число достигло 1,6 млн, а всего за десятилетие столичное управление приняло более 6,5 млн онлайн-обращений на учётно-регистрационные действия [2]. Профессиональные участники рынка выстроили подготовку сделок с учётом электронного взаимодействия. Вопрос о том, сохраняется ли дальнейший прирост этого потока, рассмотрен в следующем параграфе.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2.3 Оценка результатов использования сведений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Число обращений само по себе не измеряет достоверность записи. Оно измеряет другое: насколько участники рынка реально пользуются каналом, через который реестр включается в сделку. Для такой оценки взят ряд электронных заявлений Управления Росреестра по Москве на регистрацию прав и кадастровый учёт за первое полугодие 2022–2025 годов. Ряд не описывает всю страну. Он описывает крупнейший рынок, по которому есть сопоставимые публикации ведомства [2], [29]. Исходные значения и расчёт темпов приведены в таблице 5 и в приложении А.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5 – Электронные заявления Управления Росреестра по Москве, I полугодие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1644"/>
        <w:gridCol w:w="1644"/>
        <w:gridCol w:w="1644"/>
        <w:gridCol w:w="1757"/>
      </w:tblGrid>
      <w:tr>
        <w:trPr>
          <w:tblHeader/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Показатель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2022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2023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2024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2025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заявлений, ед.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415 547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788 817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заявлений, тыс.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415,5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653,9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781,6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788,8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Цепной темп прироста, %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–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19,5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0,9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Базисный темп прироста к 2022 г., %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–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  <w:tc>
          <w:tcPr>
            <w:tcW w:type="dxa" w:w="16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88,1</w:t>
            </w:r>
          </w:p>
        </w:tc>
        <w:tc>
          <w:tcPr>
            <w:tcW w:type="dxa" w:w="17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89,8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и рассчитано автором по: [29], [2]. Значения в тысячах округлены до одного знака.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Темп прироста в таблице 5 исчислен по формуле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 = (Yt / Yt–1 – 1) × 100 %, (1)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где Т – цепной темп прироста, %; Yt – число электронных заявлений в текущем полугодии; Yt–1 – число заявлений в том же полугодии предыдущего года. Для 2025 года расчёт имеет вид: (788 817 / 781 597 – 1) × 100 % = 0,9 %. Среднегодовой темп за три шага от 2022 к 2025 году определён по формуле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Тср = ((Y2025 / Y2022) ^ (1/3) – 1) × 100 % = 23,8 %. (2)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Подробная подстановка приведена в приложении А. Графически уровень ряда показан на рисунке 2, а затухание прироста – на рисунке 3.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8700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mosc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8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2 – Электронные заявления в Управление Росреестра по Москве за первое полугодие, тыс. (составлено автором по: [29], [2])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27777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a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7777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3 – Цепной темп прироста электронных заявлений, % (рассчитано автором)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Рисунки 2 и 3 позволяют выделить два периода. В 2022–2024 годах число заявлений увеличилось почти вдвое, с 415,5 до 781,6 тыс., причём наибольший прирост пришёлся на 2023 год. В первом полугодии 2025 года прирост снизился до 0,9 %: основной рост за три года, составивший 89,8 %, был достигнут ранее. Ведомство отмечает выход показателя на уровень около 130 тыс. заявлений в месяц [2]. С выводом о полугодовой стабилизации можно согласиться, однако месячные колебания сохранились. В мае 2025 года принято 117 458 электронных заявлений, что на 14,2 % меньше, чем в мае 2024 года (136 912). За январь – май 2025 года показатель всё же выше на 1,9 % (661 825 против 649 580) [30]. В июне 2025 года поступило 126 992 заявления: на 8,1 % больше, чем в мае, и на 3,8 % меньше, чем в июне 2024 года (132 017) [2]. Следовательно, стабилизация полугодового показателя является усреднённым результатом. Месячное снижение нельзя объяснять отказом от электронной подачи: изменяется объём сделок, а электронный способ для Москвы уже является основным.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Дальнейший прирост сохранился в сегменте юридических лиц. За январь – июль 2025 года от них поступило 176,4 тыс. электронных заявлений. Это на 17,6 % больше, чем за тот же период 2024 года (150,1 тыс.), и на 40,5 % больше, чем в 2023 году (125,6 тыс.). Доля юридических лиц в электронных заявлениях увеличилась с 16 до 19 % [31]. При стабилизации общего числа обращений профессиональные заявители продолжают переводить документы в электронную форму. Для информационного обеспечения это имеет практическое значение: банки, застройщики и иные организации формируют повторные запросы, от которых зависят сроки ипотеки и регистрации договоров.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Данные I полугодия 2026 года подтверждают замедление прироста: принято 798 073 электронных заявления, что на 1 % больше периода 2025 года и на 2 % больше шести месяцев 2024 года. Июньский показатель при этом составил 140 119 заявлений: на 15 % больше мая и на 10 % больше июня 2025 года [2]. После выхода на высокий уровень поток сохраняет небольшой годовой прирост и зависит от месячной динамики сделок.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Региональные показатели неоднородны, и сопоставлять их можно только с учётом различий в методике учёта. В таблице 6 приведены разные измерители, поскольку доли, рассчитанные по неодинаковым основаниям, нельзя складывать в один рейтинг.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6 – Показатели электронного взаимодействия в отдельных регионах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438"/>
        <w:gridCol w:w="2438"/>
        <w:gridCol w:w="2494"/>
      </w:tblGrid>
      <w:tr>
        <w:trPr>
          <w:tblHeader/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Территория и период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измерено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Значение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 читать показатель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Москва,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Число электронных заявлений на регистрацию и учёт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788,8 тыс.; +0,9 % к 2024 г.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Уровень потока, а не доля от всех заявлений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Новосибирская область, 2024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Выдано выписок из ЕГРН и доля электронных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3,1 млн; 98 %; +14 % к 2023 г.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Основная часть выписок предоставлена в электронном виде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Заявления на учёт и регистрацию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Объём −10 %; в электронном виде 60 %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Бумажный способ подачи сохраняет заметную долю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I полугодие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Договоры долевого участия и ипотека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Договоры −40 %, из них 97 % электронных; ипотечные заявления −46 %, электронная доля 64 %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Спрос снизился, электронная доля по этим договорам осталась высокой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Омская область, июнь 2025 г.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Все заявления месяца и доля электронных</w:t>
            </w:r>
          </w:p>
        </w:tc>
        <w:tc>
          <w:tcPr>
            <w:tcW w:type="dxa" w:w="243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21 563 заявления; 67 % электронных (в мае 62 %)</w:t>
            </w:r>
          </w:p>
        </w:tc>
        <w:tc>
          <w:tcPr>
            <w:tcW w:type="dxa" w:w="249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В течение года электронная доля увеличилась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[2], [32], [33], [34].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Таблица 6 не даёт оснований ранжировать регионы по одному показателю. По Москве учтено число электронных заявлений на регистрацию, по Новосибирской области – число выданных выписок, по Омской области – доля заявлений. Прямое сравнение 98 и 60 % было бы некорректным. Обоснованный вывод носит качественный характер. Там, где услуга массово переведена в электронную форму, такой документ стал обычным способом получения сведений. В Новосибирской области за 2024 год выдано 3,1 млн выписок, из них 98 % – в электронном виде, что на 14 % больше, чем годом ранее [32]. За девять месяцев 2024 года новосибирский филиал подготовил более 2,3 млн документов, и 97 % запросов поступили в электронной форме [27]. В Омской области к середине 2025 года электронный способ охватывал около 60 % заявлений на учёт и регистрацию, а в июне – 67 % [33], [34].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Данные по Омской области позволяют разделить объём рынка и способ подачи документов. За первое полугодие 2025 года число заявлений сократилось на 10 %, заявления о регистрации договоров долевого участия – на 40 %, ипотечные заявления – на 46 %. При этом 97 % сохранившихся заявлений по договорам долевого участия и 64 % ипотечных заявлений поступили в электронной форме [33]. Снижение спроса уменьшает число новых записей, но не отменяет электронного взаимодействия по оставшимся договорам. Следовательно, полноту реестра нельзя повысить только переводом заявителей на электронную подачу.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К положительным результатам практики относятся дистанционное получение выписки и подача документов, возможность увидеть обременения до сделки, сокращение срока регистрации ипотеки при электронном взаимодействии банка, межведомственный обмен и более низкая плата за электронную выписку [28]. Ограничения также сохраняются. Рост числа заявлений не подтверждает полноту ранее внесённых сведений. Регионы находятся на разных этапах перехода к электронной форме. Открытую карту нередко принимают за достаточную проверку, хотя она не обладает силой выписки. Повышение платы с 2025 года увеличивает затраты на повторные запросы, а помесячные данные по Москве показывают, что стабильность полугодового показателя не исключает колебаний внутри года.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 итогам второй главы можно сделать следующие выводы. Состав ЕГРН позволяет получить основные сведения для подготовки сделки, если запись заполнена и если заявитель запросил соответствующий вид выписки. Организации, ведущие реестр, перевели значительную часть обращений в электронную форму. В Москве полугодовой прирост этого потока к 2025 году снизился до 0,9 %, а в первом полугодии 2026 года составил около 1 %. В Новосибирской области в электронной форме предоставлено 98 % выписок. В Омской области доля электронных заявлений составляет около 60–67 % при одновременном снижении числа сделок. Эффективность использования сведений определяется двумя самостоятельными условиями: доступностью способа получения и достоверностью записи. Второе условие нельзя оценить только по числу заявлений. Проблемы содержания записи и возможные меры рассмотрены в третьей главе.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 Проблемы и направления совершенствования Единого государственного реестра недвижимости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3.1 Проблемы, снижающие качество информационного обеспечения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Материал первых двух глав позволяет сгруппировать то, что мешает ЕГРН работать как информационная основа рынка. Группы связаны между собой: пробел в записи порождает ошибку, ошибка порождает спор, спор подрывает доверие к следующей записи.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Первая группа – неполнота и историческая разнородность сведений. Значительная часть прав возникла до обязательной регистрации в современном виде. У многих ранее учтённых участков нет точных границ, у части объектов нет актуального правообладателя. Государство отвечает упрощёнными процедурами: «дачная», «гаражная» и «лесная» амнистии втягивают такие объекты в оборот [21], [22]. Для участника рынка отсутствие записи или границы двусмысленно. Оно может означать, что права нет. Оно может означать и то, что право есть, но в реестр не перенесено. Пока эта двусмысленность сохраняется, выписка не закрывает риск, а только переносит его в оговорку договора.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Вторая группа – реестровые ошибки. Они возникают при подготовке межевого и технического планов, при переносе сведений из прежних баз и при несогласованности информационных систем. Исправление требует нового обращения и времени. Покупатель, положившийся на выписку, может обнаружить пересечение границ или ограничение, которого из краткой выписки не видно [24]. Ошибка опасна именно официальным видом: сторона спора предъявляет выписку как доказательство, хотя координата в ней неверна. Чем выше доверие к форме документа, тем дороже содержательная ошибка.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Третья группа – кадастровая стоимость. Она стоит в реестре и служит налоговой базой, но нередко расходится с рыночной ценой, поэтому споров много [17]. Г. А. Комиссаров критически оценивает рассмотрение таких дел и пишет о государственном протекционизме, при котором позиция бюджетной экспертной организации ослабляет состязательность [35]. Н. А. Киселева выделяет типичные категории споров: об установлении стоимости в размере рыночной, об оставлении иска без рассмотрения из-за несоблюдения досудебного порядка и о распределении расходов на экспертизу [36]. К этой процессуальной критике стоит добавить информационный эффект. Если порядок пересмотра меняется от тура оценки к туру, налогоплательщик и инвестор не могут прочитать кадастровую стоимость как устойчивый сигнал. Фискальная функция реестра тогда начинает искажать ожидания вместо того, чтобы их прояснять. Для результатов, определённых по закону № 237-ФЗ, основным путём является установление стоимости в размере рыночной по правилам этого закона; статья 24.18 закона № 135-ФЗ не должна восприниматься как вечный и универсальный способ [14], [15].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Четвёртая группа – неравномерность цифровизации. Параграф 2.3 показал, что сопоставлять регионы одной цифрой доли нельзя, но качественный разрыв виден и без такой натяжки. В одном регионе электронная выписка стала обычным документом, в другом около трети и более заявлений всё ещё идут по иным каналам, а внутри месяца доля заметно колеблется [32], [34]. Доступ к одному и тому же реестру оказывается разным. Для межрегиональной сделки это означает разную скорость подготовки документов в зависимости от того, где расположен объект, а не от сложности права.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Пятая группа – правовая конструкция публичной достоверности. Позиция А. Д. Рудокваса, разобранная в параграфе 1.2, сохраняет силу и на практическом материале [4]. Если запись можно опровергнуть, а приобретатель, который её проверил, не получает ясной и соразмерной защиты, рынок закладывает скидку за риск либо уходит в дополнительные страховки и поручительства. Информационное обеспечение в таком случае формально есть, а экономического доверия к нему меньше, чем обещает принцип. Судебные подборки подтверждают, что вопрос достоверности не является кабинетным: он регулярно возникает в спорах о праве [20].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Шестая группа связана с безопасностью сведений. Рост электронного взаимодействия увеличивает риск мошенничества и утечки персональных данных [3]. Участникам рынка нужны открытые характеристики объекта, обременения и зоны, но не свободное распространение сведений о правообладателе. Смешение этих режимов либо ограничивает полезные данные, либо создаёт риск для гражданина.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Сводка проблем и их рыночных последствий дана в таблице 7.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7 – Проблемы использования ЕГРН и последствия для рынка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Проблема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Как проявляется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Что происходит на рынке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Неполнота сведений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Нет записи о ранее возникшем праве, граница не уточнена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Двусмысленная выписка, оговорки в договоре, срыв сделки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Реестровая ошибка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Пересечение границ, неверные площадь и координаты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Спор, расходы на исправление, пауза в регистрации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Расхождение с рыночной ценой, смена порядка пересмотра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Непредсказуемый налог, рост числа споров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Неравномерная цифровизация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Разная доля и разный навык электронного канала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Неравная скорость доступа к одним и тем же сведениям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Слабая защита полагания на запись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Запись опровергается без ясной гарантии приобретателю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Скидка за риск, дополнительные способы обеспечения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Безопасность и персональные данные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Мошенничество, избыточное раскрытие сведений о лице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Угроза правам и отказ от легальных электронных сервисов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[4], [35], [36], [3], [24], [32], [33].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Из таблицы 7 следует, что корректировать следует не отдельный недостаток выписки, а взаимосвязанные причины: неполноту сведений, проверку документов при приёме, устойчивость порядка пересмотра кадастровой стоимости, равный доступ к услугам и защиту лица, которое положилось на запись. Мера по одному направлению не устраняет неопределённость по остальным.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3.2 Правовые и организационные меры совершенствования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Предлагаемые меры следует соотнести с проблемами таблицы 7, иначе они останутся общими пожеланиями. Нормативное направление включает три шага. Первый – продолжение легализации ранее возникших прав и выявление правообладателей, чьи объекты ещё не описаны в реестре. Упрощённые процедуры расширяют охват, но их нужно сопровождать защитой соседей и иных третьих лиц: ускоренная запись без проверки пересечений границ воспроизводит ошибку в новом объёме [21], [22]. Второй шаг – устойчивость правил пересмотра кадастровой стоимости. Понятный срок, один досудебный порядок и предсказуемая роль бюджетного учреждения полезнее очередной развилки между статьёй 24.18 закона № 135-ФЗ и процедурой закона № 237-ФЗ [14], [36]. Третий шаг – прямое уточнение того, что получает лицо, которое положилось на выписку, если запись впоследствии аннулирована. Научная критика здесь уже сформулирована, и нормативному тексту стоит ответить на неё конкретно, а не новым общим принципом [4].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Организационное направление касается того, как Росреестр и ППК «Роскадастр» принимают и сверяют данные. Чем больше сведений приходит из первичного источника автоматически – от нотариуса, суда, органа местного самоуправления, банка, – тем меньше заявитель переписывает одни и те же реквизиты и тем меньше шансов на расхождение копий. Межведомственный обмен уже предусмотрен законом [1]. Резерв состоит в полноте этого обмена на стороне органов, которые порождают сведения о зонах, адресах и разрешениях, а не только на стороне регистратора.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Выравнивание условий в регионах не требует запрета бумажного способа подачи. Цель состоит в одинаковом содержании сведений и сопоставимом сроке их получения. Единые технические требования, обучение сотрудников территориальных подразделений и помощь заявителю, который не использует электронную подпись, позволяют сократить различия, отмеченные по Омской и Новосибирской областям [33], [32]. Отказ от услуг многофункционального центра только ради роста доли электронных заявлений ограничил бы доступ и не повысил бы качество записи. Данные по Омской области за июнь 2025 года, когда электронная доля выросла с 62 до 67 % при увеличении общего числа заявлений, показывают, что доля может расти без административного ограничения бумажной формы [34].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Отдельным резервом является достоверность сведений о границах. При заявительном порядке ошибка исправляется лишь после того, как конкретный правообладатель столкнулся со спором. Комплексные кадастровые работы в границах кадастрового квартала позволяют выявить пересечения сразу по группе участков. Результат таких работ зависит от финансирования и от того, относит ли их орган власти к приоритетным задачам. Для информационного обеспечения этот способ предпочтительнее последующего рассмотрения множества индивидуальных споров.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Предлагаемое соответствие проблем и мер сведено в таблице 8.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8 – Меры совершенствования и ожидаемый эффект</w:t>
      </w:r>
    </w:p>
    <w:tbl>
      <w:tblPr>
        <w:tblStyle w:val="TableGrid"/>
        <w:tblW w:type="dxa" w:w="9638"/>
        <w:jc w:val="center"/>
        <w:tblLayout w:type="fixed"/>
        <w:tblLook w:firstColumn="1" w:firstRow="1" w:lastColumn="0" w:lastRow="0" w:noHBand="0" w:noVBand="1" w:val="04A0"/>
      </w:tblPr>
      <w:tblGrid>
        <w:gridCol w:w="2608"/>
        <w:gridCol w:w="3515"/>
        <w:gridCol w:w="3515"/>
      </w:tblGrid>
      <w:tr>
        <w:trPr>
          <w:tblHeader/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Проблема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Мера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Ожидаемый эффект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Неполнота сведений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Легализация ранее возникших прав и массовое уточнение границ с гарантией для третьих лиц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двусмысленных выписок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Реестровая ошибка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Автоматическая проверка пересечений при приёме документов и межведомственный обмен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ошибок, которые успевают стать записью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Кадастровая стоимость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Один устойчивый порядок установления стоимости в размере рыночной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Понятный налоговый сигнал, меньше процессуальных тупиков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Неравномерная цифровизация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Единые требования, обучение, сохранение очного канала для тех, кто не работает в электронном виде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Сопоставимый доступ без отсечения части владельцев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Слабая защита полагания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Прямая норма о последствиях для лица, проверившего выписку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Рост доверия к записи как к основанию сделки</w:t>
            </w:r>
          </w:p>
        </w:tc>
      </w:tr>
      <w:tr>
        <w:trPr>
          <w:cantSplit/>
        </w:trPr>
        <w:tc>
          <w:tcPr>
            <w:tcW w:type="dxa" w:w="260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Безопасность данных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Разделение открытых сведений об объекте и ограниченных сведений о лице, контроль подлинности документов</w:t>
            </w:r>
          </w:p>
        </w:tc>
        <w:tc>
          <w:tcPr>
            <w:tcW w:type="dxa" w:w="35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Меньше поводов для мошенничества и для отказа от сервиса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Составлено автором по: [1], [14], [4], [36], [25].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таблице 8 эффект указан качественно: открытые сообщения ведомства не содержат ряда, по которому можно было бы рассчитать процент снижения числа споров. Критерием последующей оценки целесообразно считать не долю электронных заявлений, которая в Москве уже стабилизировалась, а долю приостановлений из-за реестровой ошибки, срок уточнения границы и число споров о кадастровой стоимости на тысячу объектов. Эти показатели точнее характеризуют качество информационного обеспечения, чем общий объём обращений.</w:t>
      </w:r>
    </w:p>
    <w:p>
      <w:pPr>
        <w:widowControl/>
        <w:spacing w:line="360" w:lineRule="auto" w:before="24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3.3 Цифровая трансформация и качество сведений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Цифровая трансформация реестра сегодня сосредоточена вокруг платформы НСПД. Положение о ней утверждено в 2022 году и впоследствии изменялось [18]. Платформа задумана как объединение сведений о земле и недвижимости, включая права и кадастровую оценку, с иными пространственными данными органов власти [37]. Первая очередь введена в эксплуатацию в декабре 2023 года, вторая – 23 декабря 2024 года. Вместе со второй очередью на платформу перенесена публичная кадастровая карта и открыты новые сервисы [25]. Сообщение Правительства о стопроцентном выполнении госпрограммы за 2023 год фиксирует административный результат этапа, а не завершение работы над полнотой ЕГРН [26].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Для качества записи существен сервис, который показывает пространственные данные до подачи документов. Кадастровый инженер может увидеть пересечение межевого или технического плана с учтёнными объектами и зонами и исправить документ до внесения записи [25]. Пока такая проверка остаётся добровольной, её результат зависит от исполнителя. Целесообразно использовать её как обязательное условие приёма документов.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Второе направление – обмен сведениями с профессиональными участниками. Сокращённый срок регистрации ипотеки при электронном пакете банка показывает, как такой обмен влияет на сделку [1]. Распространение этого порядка на договоры долевого участия, аренду и учёт машино-мест даст больший результат, чем создание ещё одного сервиса для разового заявителя. Это подтверждает и статистика: общий электронный поток в Москве стабилизировался, а число заявлений юридических лиц за январь – июль 2025 года выросло на 17,6 % [31].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Третье направление – разграничение открытых и ограниченных сведений. Характеристики объекта, обременения и зоны должны быть доступны, иначе предварительная проверка не выявляет запрет строительства [24]. Сведения, позволяющие определить личность правообладателя, следует предоставлять в ограниченном режиме с фиксацией заявителя [3]. На платформе НСПД открытая карта и юридически значимая выписка уже разделены. Это разделение нужно закрепить как правило доступа.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По итогам трёх направлений можно сформулировать следующий вывод. Повышение эффективности ЕГРН как информационного обеспечения связано прежде всего с содержанием записи и с предсказуемостью её правовых последствий, а не только со скоростью электронного сервиса. В крупных городах электронный способ подачи уже получил широкое распространение, что подтверждает прирост 0,9 % в первом полугодии 2025 года и около 1 % в первом полугодии 2026 года по Москве. Дальнейший результат зависит от полноты сведений о границах, от проверки документов до внесения записи, от устойчивого порядка определения кадастровой стоимости и от ясной защиты лица, которое положилось на выписку. Платформа НСПД полезна в той мере, в какой её сервисы включены в приём документов, а не действуют отдельно от реестра.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Таким образом, цифровое развитие не отменяет выводов о правовом режиме реестра. Оно создаёт средства для мер, которые без пространственной проверки и межведомственного обмена остались бы пожеланиями. Показатель результата при этом следует изменить: учитывать нужно не только число принятых электронных заявлений, но и сокращение ошибок, доходящих до записи, а также число случаев, когда лицо, добросовестно использовавшее выписку, впоследствии утрачивает право.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ЗАКЛЮЧЕНИЕ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Цель исследования состояла в том, чтобы раскрыть роль ЕГРН как информационного обеспечения рынка недвижимости и обосновать направления повышения эффективности его использования. Поставленная цель достигнута, задачи решены.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первой главе установлено, что прообраз реестра сложился на третьем этапе, начавшемся в 2000 году: государственный земельный кадастр сменился государственным кадастром недвижимости, а с 2008 года соответствующие функции сосредоточены в Росреестре. С 1 января 2017 года ЕГРН объединил кадастр недвижимости и реестр прав. Государственная регистрация является единственным доказательством зарегистрированного права. Реестр выполняет правоудостоверяющую, информационно-справочную, фискальную, аналитическую и охранительную функции. Охранительная функция остаётся спорной: защита лица, положившегося на запись, на практике недостаточно определена. Это снижает доверие участников рынка к сведениям реестра.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Во второй главе по материалам Росреестра и ППК «Роскадастр» рассмотрены состав сведений, порядок их предоставления и результаты использования. В Москве число электронных заявлений за первое полугодие выросло с 415 547 в 2022 году до 788 817 в 2025 году, или на 89,8 %, при среднегодовом темпе 23,8 %. В 2025 году прирост снизился до 0,9 %, а в первом полугодии 2026 года составил около 1 % (798 073 заявления). В июне 2026 года принято 140 119 электронных заявлений, на 15 % больше, чем в мае. В Новосибирской области в 2024 году 98 % выписок выдано в электронном виде. В Омской области при снижении числа заявлений на 10 % электронными были 60 % заявлений. Объём рынка и способ подачи документов изменяются раздельно.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В третьей главе выделены неполнота исторических сведений, реестровые ошибки, споры о кадастровой стоимости, неравномерность цифрового доступа, недостаточная защита лица, положившегося на запись, и риски избыточного раскрытия персональных данных. Предложены легализация ранее возникших прав с гарантией для третьих лиц, массовое уточнение границ, проверка документов до внесения записи, устойчивый порядок установления кадастровой стоимости в размере рыночной, сохранение очного способа подачи и разделение открытых сведений об объекте и ограниченных сведений о правообладателе. Практическое значение работы состоит в том, что качество информационного обеспечения следует оценивать не только по числу электронных заявлений, но и по доле ошибок, сроку уточнения границ и устойчивости правил кадастровой стоимости.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СПИСОК ИСПОЛЬЗОВАННЫХ ИСТОЧНИКОВ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1. Российская Федерация. Законы. О государственной регистрации недвижимости : Федеральный закон № 218-ФЗ : принят Государственной Думой 3 июля 2015 года : одобрен Советом Федерации 8 июля 2015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2. Росреестр: за 10 лет в Москве зарегистрировано свыше 6,5 млн онлайн-заявлений. – Текст : электронный // Единый ресурс застройщиков : [сайт]. – 2025. – URL: https://erzrf.ru/news/rosreyestr-za-10-let-v-moskve-zaregistrirovano-svyshe-65-mln-onlayn-zayavleniy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3. Мосин, А. Н. Цифровизация рынка недвижимости: преимущества и риски / А. Н. Мосин. – Текст : электронный // КиберЛенинка : научная электронная библиотека. – 2023. – URL: https://cyberleninka.ru/article/n/tsifrovizatsiya-rynka-nedvizhimosti-preimuschestva-i-riski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4. Рудоквас, А. Д. О влиянии регистрационной системы на оборот недвижимости / А. Д. Рудоквас // Вестник гражданского права. – 2022. – № 1.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5. Глубокая, В. И. Процесс цифровизации рынка недвижимости в Российской Федерации / В. И. Глубокая, Н. А. Куцева // Шаг в науку. – 2022. – № 2. – С. 49–52.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6. Перов, А. Ю. Основы кадастра недвижимости : учебное пособие / А. Ю. Перов, М. В. Сидоренко, А. В. Матвеева. – Краснодар : КубГАУ, 2020. – 66 с. – ISBN 978-5-907346-52-9.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7. Российская Федерация. Законы. О государственном земельном кадастре : Федеральный закон № 28-ФЗ : принят Государственной Думой 24 ноября 1999 года (утратил силу).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8. Российская Федерация. Законы. О кадастровой деятельности : Федеральный закон № 221-ФЗ : принят Государственной Думой 4 июля 2007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9. Российская Федерация. Законы. О государственной регистрации прав на недвижимое имущество и сделок с ним : Федеральный закон № 122-ФЗ : принят Государственной Думой 17 июня 1997 года (утратил силу).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10. Макарова, Е. Е. Современное состояние рынка недвижимости России в условиях цифровой экономики / Е. Е. Макарова, Е. Н. Сыщикова, З. Б. Проскурина // Наука Красноярья. – 2021. – Т. 10, № 3. – С. 71–86.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11. Конституция Российской Федерации : принята всенародным голосованием 12 декабря 1993 года : с изменениями, одобренными в ходе общероссийского голосования 1 июля 2020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12. Российская Федерация. Законы. Гражданский кодекс Российской Федерации. Часть первая : Федеральный закон № 51-ФЗ : принят Государственной Думой 21 октября 1994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13. Пожаров, И. В. Государственный кадастровый учет и государственная регистрация прав на недвижимое имущество / И. В. Пожаров. – Текст : электронный // КонсультантПлюс : справочно-правовая система. – 2022.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14. Российская Федерация. Законы. О государственной кадастровой оценке : Федеральный закон № 237-ФЗ : принят Государственной Думой 22 июня 2016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15. Российская Федерация. Законы. Об оценочной деятельности в Российской Федерации : Федеральный закон № 135-ФЗ : принят Государственной Думой 16 июля 1998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16. Российская Федерация. Законы. Налоговый кодекс Российской Федерации. Часть вторая : Федеральный закон № 117-ФЗ : принят Государственной Думой 19 июля 2000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17. Как оспорить кадастровую стоимость и не переплачивать налог на имущество. – Текст : электронный // ГАРАНТ.РУ : [сайт]. – URL: https://www.garant.ru/actual/kadastr/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18. Российская Федерация. Правительство. О федеральной государственной географической информационной системе «Единая цифровая платформа „Национальная система пространственных данных“» : Постановление № 1040 : утверждено 7 июня 2022 года. – Текст : электронный // Официальное опубликование правовых актов : [сайт]. – URL: http://publication.pravo.gov.ru/Document/View/0001202206100048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19. Российская Федерация. Законы. О публично-правовой компании «Роскадастр» : Федеральный закон № 448-ФЗ : принят Государственной Думой 16 декабря 2021 года. – Текст : электронный // КонсультантПлюс : справочно-правовая система. – URL: http://www.consultant.ru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20. Достоверность сведений ЕГРН : подборка судебной практики, законодательства и статей. – Текст : электронный // КонсультантПлюс : справочно-правовая система. – URL: https://www.consultant.ru/law/podborki/dostovernost_svedenij_egrn/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21. Ефимова, Е. И. Особенности правового регулирования «лесной амнистии» для дачных земельных участков / Е. И. Ефимова // Экологическое право. – 2022. – № 4.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22. Молчанов, П. В. «Гаражная амнистия»: законодательство и практика (по результатам социологических исследований) / П. В. Молчанов // Административное право и процесс. – 2022. – № 7.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23. Роменко, В. А. Правовые проблемы контроля за уплатой физическими лицами налога на доходы от продажи недвижимого имущества / В. А. Роменко // Финансовое право. – 2022. – № 7.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24. Васючкова, О. А. Минимизация имущественных рисков: важные аспекты в земельных правоотношениях / О. А. Васючкова, Е. Ю. Волкова // Нотариус. – 2022. – № 5.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25. Публичная кадастровая карта перенесена на цифровую платформу «Национальная система пространственных данных». – Текст : электронный // Управление Росреестра по Республике Татарстан : [сайт]. – 2024. – URL: https://rosreestr.tatarstan.ru/index.htm/news/2373794.htm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26. Марат Хуснуллин: госпрограмма «Национальная система пространственных данных» по итогам 2023 года выполнена на 100 %. – Текст : электронный // Правительство России : официальный сайт. – 2023. – URL: http://government.ru/news/50985/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27. В Новосибирской области с начала года выдано более двух миллионов выписок из ЕГРН. – Текст : электронный // Официальный сайт города Новосибирска. – 2024. – URL: https://novo-sibirsk.ru/news/408608/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28. В региональном Роскадастре подвели итоги горячей линии о получении выписки из ЕГРН. – Текст : электронный // Официальный сайт города Новосибирска. – 2025. – URL: https://novo-sibirsk.ru/news/418460/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29. Росреестр по Москве: заявления «в цифре» выросли на 20 % за год. – Текст : электронный // Раменки : [сайт]. – 2024. – URL: https://ramenki-gazeta.ru/rosreestr-po-moskve-zajavlenija-v-cifre-vyrosli-na-20-za-god-1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30. В Москве число онлайн-заявлений на регистрацию недвижимости уменьшилось на 14,2 %. – Текст : электронный // ТАСС : [сайт]. – 2025. – 30 июня. – URL: https://tass.ru/nedvizhimost/24388733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31. Более 176 тыс. онлайн-заявлений юрлиц принял за январь – июль Росреестр в Москве. – Текст : электронный // Квартира.ру : [сайт]. – 2025. – URL: https://www.kvartiranew.ru/news_jmn7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32. Более трех миллионов выписок из ЕГРН выдал региональный Роскадастр в 2024 году. – Текст : электронный // Администрация города Бердска : [сайт]. – 2025. – URL: https://berdsk.nso.ru/news/45654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33. Общественный совет при омском Росреестре обсудил итоги работы Управления и филиала ППК «Роскадастр» за первое полугодие 2025 года. – Текст : электронный // Администрация Черлакского района : [сайт]. – 2025. – URL: https://cherlakskoe-r52.gosweb.gosuslugi.ru/dlya-zhiteley/novosti-i-reportazhi/novosti_38.html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34. Росреестр : оперативные итоги июня 2025 года по Омской области. – Текст : электронный // Администрация Москаленского района : [сайт]. – 2025. – URL: https://moskalenskoe-moskalenskij-r52.gosweb.gosuslugi.ru/dlya-zhiteley/novosti-i-reportazhi/novosti_111.html (дата обращения: 08.10.2026).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35. Комиссаров, Г. А. Государственный протекционизм в делах об оспаривании кадастровой стоимости / Г. А. Комиссаров // Имущественные отношения в Российской Федерации. – 2022. – № 9.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36. Киселева, Н. А. Правовое регулирование и вопросы правоприменения института оценки / Н. А. Киселева // Государственная власть и местное самоуправление. – 2023. – № 12.</w:t>
      </w:r>
    </w:p>
    <w:p>
      <w:pPr>
        <w:spacing w:line="360" w:lineRule="auto" w:before="0" w:after="0"/>
        <w:ind w:left="709" w:hanging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37. Национальная система пространственных данных. – Текст : электронный // Федеральная служба государственной регистрации, кадастра и картографии : официальный сайт. – URL: https://rosreestr.gov.ru/activity/gosudarstvennye-programmy/natsionalnaya-sistema-prostranstvennykh-dannykh/ (дата обращения: 08.10.2026).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ПРИЛОЖЕНИЕ А</w:t>
      </w:r>
    </w:p>
    <w:p>
      <w:pPr>
        <w:widowControl/>
        <w:spacing w:line="360" w:lineRule="auto" w:before="12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Расчёт показателей динамики электронных заявлений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Исходный ряд – число электронных заявлений, принятых Управлением Росреестра по Москве на регистрацию прав и постановку на кадастровый учёт, первое полугодие. Значения 2022–2024 годов взяты из сообщения управления о результатах января – июня 2024 года, значение 2025 года – из сообщения о десятилетнем ряде и первом полугодии 2025 года [29], [2].</w:t>
      </w:r>
    </w:p>
    <w:p>
      <w:pPr>
        <w:widowControl/>
        <w:spacing w:line="360" w:lineRule="auto" w:before="200" w:after="80"/>
        <w:ind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Таблица А.1 – Подстановка в формулу цепного темпа прироста</w:t>
      </w:r>
    </w:p>
    <w:tbl>
      <w:tblPr>
        <w:tblStyle w:val="TableGrid"/>
        <w:tblW w:type="dxa" w:w="9637"/>
        <w:jc w:val="center"/>
        <w:tblLayout w:type="fixed"/>
        <w:tblLook w:firstColumn="1" w:firstRow="1" w:lastColumn="0" w:lastRow="0" w:noHBand="0" w:noVBand="1" w:val="04A0"/>
      </w:tblPr>
      <w:tblGrid>
        <w:gridCol w:w="1814"/>
        <w:gridCol w:w="1587"/>
        <w:gridCol w:w="1587"/>
        <w:gridCol w:w="3175"/>
        <w:gridCol w:w="1474"/>
      </w:tblGrid>
      <w:tr>
        <w:trPr>
          <w:tblHeader/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Переход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Yt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Yt–1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Расчёт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EF5" w:val="clea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  <w:lang w:val="ru-RU" w:eastAsia="ru-RU"/>
              </w:rPr>
              <w:t>Т, %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2023 к 2022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415 547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(653 938 / 415 547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57,4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2024 к 2023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653 938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(781 597 / 653 938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19,5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2025 к 2024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788 817</w:t>
            </w:r>
          </w:p>
        </w:tc>
        <w:tc>
          <w:tcPr>
            <w:tcW w:type="dxa" w:w="158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781 597</w:t>
            </w:r>
          </w:p>
        </w:tc>
        <w:tc>
          <w:tcPr>
            <w:tcW w:type="dxa" w:w="317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(788 817 / 781 597 – 1) × 100</w:t>
            </w:r>
          </w:p>
        </w:tc>
        <w:tc>
          <w:tcPr>
            <w:tcW w:type="dxa" w:w="147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4"/>
                <w:lang w:val="ru-RU" w:eastAsia="ru-RU"/>
              </w:rPr>
              <w:t>0,9</w:t>
            </w:r>
          </w:p>
        </w:tc>
      </w:tr>
    </w:tbl>
    <w:p>
      <w:pPr>
        <w:widowControl/>
        <w:spacing w:line="240" w:lineRule="auto" w:before="40" w:after="120"/>
        <w:ind w:firstLine="0"/>
        <w:jc w:val="both"/>
      </w:pPr>
      <w:r>
        <w:rPr>
          <w:rFonts w:ascii="Times New Roman" w:hAnsi="Times New Roman" w:eastAsia="Times New Roman"/>
          <w:b w:val="0"/>
          <w:i/>
          <w:color w:val="000000"/>
          <w:sz w:val="24"/>
          <w:lang w:val="ru-RU" w:eastAsia="ru-RU"/>
        </w:rPr>
        <w:t>Примечание – Рассчитано автором. Результат округлён до одного знака после запятой.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Базисный темп к 2022 году: для 2024 года (781 597 / 415 547 – 1) × 100 % = 88,1 %; для 2025 года (788 817 / 415 547 – 1) × 100 % = 89,8 %. Среднегодовой темп за три интервала:</w:t>
      </w:r>
    </w:p>
    <w:p>
      <w:pPr>
        <w:widowControl/>
        <w:spacing w:line="360" w:lineRule="auto" w:before="120" w:after="4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Тср = ((788 817 / 415 547) ^ (1/3) – 1) × 100 % = (1,8983 ^ (1/3) – 1) × 100 % = 23,8 %.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Дополнительные контрольные соотношения, использованные в параграфе 2.3 и во введении. Июнь 2025 года к июню 2024 года: (126 992 / 132 017 – 1) × 100 % = −3,8 %. Июнь 2025 года к маю 2025 года: (126 992 / 117 458 – 1) × 100 % = 8,1 %. Май 2025 года к маю 2024 года: (117 458 / 136 912 – 1) × 100 % = −14,2 % [2], [30]. Июнь 2026 года к маю 2026 года: (140 119 / 121 991 – 1) × 100 % = 14,9 %, в тексте введения результат округлён до 15 %. Июнь 2026 года к июню 2025 года: (140 119 / 126 992 – 1) × 100 % = 10,3 %, в тексте округлено до 10 %. Первое полугодие 2026 года к первому полугодию 2025 года: (798 073 / 788 817 – 1) × 100 % = 1,2 %, в тексте округлено до 1 %. Первое полугодие 2026 года к первому полугодию 2024 года: (798 073 / 781 597 – 1) × 100 % = 2,1 %, в тексте округлено до 2 %. Январь – июль 2025 года, заявления юридических лиц: (176,4 / 150,1 – 1) × 100 % = 17,6 %; к 2023 году (176,4 / 125,6 – 1) × 100 % = 40,4 % [31]. В тексте главы последний результат сопоставлен с опубликованным ведомством округлением 40,5 %; расхождение в 0,1 пункта объясняется округлением исходных тысяч.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Доля электронных заявлений в Омской области в июне 2025 года: 14 427 / 21 563 × 100 % = 66,9 %, в публикации ведомства – 67 %. В мае: 12 328 / 19 889 × 100 % = 62,0 %, что совпадает с опубликованной долей [34].</w:t>
      </w:r>
    </w:p>
    <w:p>
      <w:pPr>
        <w:pageBreakBefore/>
        <w:widowControl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ПРИЛОЖЕНИЕ Б</w:t>
      </w:r>
    </w:p>
    <w:p>
      <w:pPr>
        <w:widowControl/>
        <w:spacing w:line="360" w:lineRule="auto" w:before="120" w:after="200"/>
        <w:ind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  <w:lang w:val="ru-RU" w:eastAsia="ru-RU"/>
        </w:rPr>
        <w:t>Схема движения сведений между участником рынка и реестром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Схема показывает, как запрос или заявление участника рынка доходит до записи ЕГРН и возвращается в виде выписки либо открытых пространственных данных. Росреестр и ППК «Роскадастр» разделены по ролям: правовая экспертиза и регистрация прав, с одной стороны, кадастровый учёт и подготовка сведений, с другой. Платформа НСПД указана как среда показа и предварительной пространственной проверки, а не как замена реестра (рисунок Б.1).</w:t>
      </w:r>
    </w:p>
    <w:p>
      <w:pPr>
        <w:spacing w:before="160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8000" cy="3779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779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360" w:lineRule="auto" w:before="40" w:after="160"/>
        <w:ind w:firstLine="0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Рисунок Б.1 – Движение сведений между участником рынка, Росреестром, ППК «Роскадастр» и ЕГРН (составлено автором)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  <w:lang w:val="ru-RU" w:eastAsia="ru-RU"/>
        </w:rPr>
        <w:t>Схема поясняет вывод основной части. Удобство верхнего блока – способа подачи – уже высоко на крупных рынках. Качество нижнего блока – самой записи – зависит от того, какие документы прошли экспертизу и были ли пересечения границ отсечены до внесения. Поэтому меры третьей главы сосредоточены на содержании записи и на фильтре приёма, а не на создании ещё одного канала обращения.</w:t>
      </w:r>
    </w:p>
    <w:sectPr w:rsidR="00FC693F" w:rsidRPr="0006063C" w:rsidSect="00034616">
      <w:headerReference w:type="default" r:id="rId9"/>
      <w:headerReference w:type="first" r:id="rId10"/>
      <w:pgSz w:w="11906" w:h="16838"/>
      <w:pgMar w:top="1134" w:right="567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firstLine="0"/>
      <w:jc w:val="center"/>
    </w:pPr>
    <w:r>
      <w:rPr>
        <w:rFonts w:ascii="Times New Roman" w:hAnsi="Times New Roman" w:eastAsia="Times New Roman"/>
        <w:b w:val="0"/>
        <w:i w:val="0"/>
        <w:color w:val="000000"/>
        <w:sz w:val="28"/>
        <w:lang w:val="ru-RU" w:eastAsia="ru-RU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