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240"/>
        <w:ind w:firstLine="0" w:left="0"/>
        <w:jc w:val="center"/>
      </w:pPr>
      <w:r>
        <w:rPr>
          <w:rFonts w:ascii="Times New Roman" w:hAnsi="Times New Roman" w:cs="Times New Roman" w:eastAsia="Times New Roman"/>
          <w:b/>
          <w:i w:val="0"/>
          <w:color w:val="000000"/>
          <w:sz w:val="28"/>
        </w:rPr>
        <w:t>ОГЛАВЛЕНИЕ</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ПЕРЕЧЕНЬ СОКРАЩЕНИЙ И УСЛОВНЫХ ОБОЗНАЧЕНИЙ</w:t>
        <w:tab/>
        <w:t>2</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ВВЕДЕНИЕ</w:t>
        <w:tab/>
        <w:t>3</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1 ТЕОРЕТИЧЕСКИЕ ОСНОВЫ ЕДИНОГО ГОСУДАРСТВЕННОГО РЕЕСТРА НЕДВИЖИМОСТИ КАК ИНФОРМАЦИОННОГО ОБЕСПЕЧЕНИЯ РЫНКА НЕДВИЖИМОСТИ</w:t>
        <w:tab/>
        <w:t>6</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1.1 Правовая природа, структура и состав сведений ЕГРН</w:t>
        <w:tab/>
        <w:t>6</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1.2 Межевой план как источник сведений о границах, координатах и площади</w:t>
        <w:tab/>
        <w:t>8</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1.3 Сведения ЕГРН при принятии решений на рынке недвижимости</w:t>
        <w:tab/>
        <w:t>11</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2 ОЦЕНКА ПРИГОДНОСТИ СВЕДЕНИЙ ЕГРН НА ПРИМЕРЕ ЗЕМЕЛЬНОГО УЧАСТКА 50:28:0000000:51403</w:t>
        <w:tab/>
        <w:t>14</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2.1 Характеристика объекта оценки по данным ЕГРН, НСПД и межевого плана</w:t>
        <w:tab/>
        <w:t>14</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2.2 Проверка геометрических сведений и разбивка участка</w:t>
        <w:tab/>
        <w:t>18</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2.3 Определение рыночной стоимости и достаточность сведений для сделки</w:t>
        <w:tab/>
        <w:t>22</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3 РЕКОМЕНДАЦИИ ПО ИСПОЛЬЗОВАНИЮ И ПОВЫШЕНИЮ ПРИГОДНОСТИ СВЕДЕНИЙ ЕГРН</w:t>
        <w:tab/>
        <w:t>28</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3.1 Рекомендации применительно к участку 50:28:0000000:51403</w:t>
        <w:tab/>
        <w:t>28</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3.2 Предложения по информационному обеспечению рынка недвижимости</w:t>
        <w:tab/>
        <w:t>30</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ЗАКЛЮЧЕНИЕ</w:t>
        <w:tab/>
        <w:t>33</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СПИСОК ИСПОЛЬЗОВАННЫХ ИСТОЧНИКОВ</w:t>
        <w:tab/>
        <w:t>35</w:t>
      </w:r>
    </w:p>
    <w:p>
      <w:pPr>
        <w:tabs>
          <w:tab w:pos="9638" w:val="right" w:leader="dot"/>
        </w:tabs>
        <w:spacing w:line="240" w:lineRule="auto" w:before="0" w:after="0"/>
        <w:ind w:firstLine="0" w:left="0"/>
        <w:jc w:val="left"/>
      </w:pPr>
      <w:r>
        <w:rPr>
          <w:rFonts w:ascii="Times New Roman" w:hAnsi="Times New Roman" w:cs="Times New Roman" w:eastAsia="Times New Roman"/>
          <w:b/>
          <w:i w:val="0"/>
          <w:color w:val="000000"/>
          <w:sz w:val="28"/>
        </w:rPr>
        <w:t>ПРИЛОЖЕНИЯ</w:t>
        <w:tab/>
        <w:t>38</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Приложение А. Сводные сведения об объекте оценки</w:t>
        <w:tab/>
        <w:t>38</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Приложение Б. Каталог координат, разбивочная ведомость и расчет площади</w:t>
        <w:tab/>
        <w:t>39</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Приложение В. Чертеж земельного участка</w:t>
        <w:tab/>
        <w:t>40</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Приложение Г. Расчет рыночной стоимости</w:t>
        <w:tab/>
        <w:t>42</w:t>
      </w:r>
    </w:p>
    <w:p>
      <w:pPr>
        <w:tabs>
          <w:tab w:pos="9638" w:val="right" w:leader="dot"/>
        </w:tabs>
        <w:spacing w:line="240" w:lineRule="auto" w:before="0" w:after="0"/>
        <w:ind w:firstLine="0" w:left="709"/>
        <w:jc w:val="left"/>
      </w:pPr>
      <w:r>
        <w:rPr>
          <w:rFonts w:ascii="Times New Roman" w:hAnsi="Times New Roman" w:cs="Times New Roman" w:eastAsia="Times New Roman"/>
          <w:b w:val="0"/>
          <w:i w:val="0"/>
          <w:color w:val="000000"/>
          <w:sz w:val="28"/>
        </w:rPr>
        <w:t>Приложение Д. Копии исходных материалов</w:t>
        <w:tab/>
        <w:t>43</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ПЕРЕЧЕНЬ СОКРАЩЕНИЙ И УСЛОВНЫХ ОБОЗНАЧЕНИЙ</w:t>
      </w:r>
    </w:p>
    <w:p>
      <w:pPr>
        <w:spacing w:line="360" w:lineRule="auto" w:before="0" w:after="0"/>
        <w:ind w:firstLine="0" w:left="0"/>
        <w:jc w:val="left"/>
      </w:pPr>
      <w:r>
        <w:rPr>
          <w:rFonts w:ascii="Times New Roman" w:hAnsi="Times New Roman" w:cs="Times New Roman" w:eastAsia="Times New Roman"/>
          <w:b w:val="0"/>
          <w:i w:val="0"/>
          <w:color w:val="000000"/>
          <w:sz w:val="28"/>
        </w:rPr>
        <w:t>ВРИ — вид разрешенного использования земельного участка.</w:t>
      </w:r>
    </w:p>
    <w:p>
      <w:pPr>
        <w:spacing w:line="360" w:lineRule="auto" w:before="0" w:after="0"/>
        <w:ind w:firstLine="0" w:left="0"/>
        <w:jc w:val="left"/>
      </w:pPr>
      <w:r>
        <w:rPr>
          <w:rFonts w:ascii="Times New Roman" w:hAnsi="Times New Roman" w:cs="Times New Roman" w:eastAsia="Times New Roman"/>
          <w:b w:val="0"/>
          <w:i w:val="0"/>
          <w:color w:val="000000"/>
          <w:sz w:val="28"/>
        </w:rPr>
        <w:t>ГКН — государственный кадастр недвижимости.</w:t>
      </w:r>
    </w:p>
    <w:p>
      <w:pPr>
        <w:spacing w:line="360" w:lineRule="auto" w:before="0" w:after="0"/>
        <w:ind w:firstLine="0" w:left="0"/>
        <w:jc w:val="left"/>
      </w:pPr>
      <w:r>
        <w:rPr>
          <w:rFonts w:ascii="Times New Roman" w:hAnsi="Times New Roman" w:cs="Times New Roman" w:eastAsia="Times New Roman"/>
          <w:b w:val="0"/>
          <w:i w:val="0"/>
          <w:color w:val="000000"/>
          <w:sz w:val="28"/>
        </w:rPr>
        <w:t>ЕГРН — Единый государственный реестр недвижимости.</w:t>
      </w:r>
    </w:p>
    <w:p>
      <w:pPr>
        <w:spacing w:line="360" w:lineRule="auto" w:before="0" w:after="0"/>
        <w:ind w:firstLine="0" w:left="0"/>
        <w:jc w:val="left"/>
      </w:pPr>
      <w:r>
        <w:rPr>
          <w:rFonts w:ascii="Times New Roman" w:hAnsi="Times New Roman" w:cs="Times New Roman" w:eastAsia="Times New Roman"/>
          <w:b w:val="0"/>
          <w:i w:val="0"/>
          <w:color w:val="000000"/>
          <w:sz w:val="28"/>
        </w:rPr>
        <w:t>ЕГРП — Единый государственный реестр прав на недвижимое имущество и сделок с ним.</w:t>
      </w:r>
    </w:p>
    <w:p>
      <w:pPr>
        <w:spacing w:line="360" w:lineRule="auto" w:before="0" w:after="0"/>
        <w:ind w:firstLine="0" w:left="0"/>
        <w:jc w:val="left"/>
      </w:pPr>
      <w:r>
        <w:rPr>
          <w:rFonts w:ascii="Times New Roman" w:hAnsi="Times New Roman" w:cs="Times New Roman" w:eastAsia="Times New Roman"/>
          <w:b w:val="0"/>
          <w:i w:val="0"/>
          <w:color w:val="000000"/>
          <w:sz w:val="28"/>
        </w:rPr>
        <w:t>ЗОУИТ — зона с особыми условиями использования территории.</w:t>
      </w:r>
    </w:p>
    <w:p>
      <w:pPr>
        <w:spacing w:line="360" w:lineRule="auto" w:before="0" w:after="0"/>
        <w:ind w:firstLine="0" w:left="0"/>
        <w:jc w:val="left"/>
      </w:pPr>
      <w:r>
        <w:rPr>
          <w:rFonts w:ascii="Times New Roman" w:hAnsi="Times New Roman" w:cs="Times New Roman" w:eastAsia="Times New Roman"/>
          <w:b w:val="0"/>
          <w:i w:val="0"/>
          <w:color w:val="000000"/>
          <w:sz w:val="28"/>
        </w:rPr>
        <w:t>МСК-50 — местная система координат Московской области.</w:t>
      </w:r>
    </w:p>
    <w:p>
      <w:pPr>
        <w:spacing w:line="360" w:lineRule="auto" w:before="0" w:after="0"/>
        <w:ind w:firstLine="0" w:left="0"/>
        <w:jc w:val="left"/>
      </w:pPr>
      <w:r>
        <w:rPr>
          <w:rFonts w:ascii="Times New Roman" w:hAnsi="Times New Roman" w:cs="Times New Roman" w:eastAsia="Times New Roman"/>
          <w:b w:val="0"/>
          <w:i w:val="0"/>
          <w:color w:val="000000"/>
          <w:sz w:val="28"/>
        </w:rPr>
        <w:t>НСПД — Национальная система пространственных данных.</w:t>
      </w:r>
    </w:p>
    <w:p>
      <w:pPr>
        <w:spacing w:line="360" w:lineRule="auto" w:before="0" w:after="0"/>
        <w:ind w:firstLine="0" w:left="0"/>
        <w:jc w:val="left"/>
      </w:pPr>
      <w:r>
        <w:rPr>
          <w:rFonts w:ascii="Times New Roman" w:hAnsi="Times New Roman" w:cs="Times New Roman" w:eastAsia="Times New Roman"/>
          <w:b w:val="0"/>
          <w:i w:val="0"/>
          <w:color w:val="000000"/>
          <w:sz w:val="28"/>
        </w:rPr>
        <w:t>СНТ — садоводческое некоммерческое товарищество.</w:t>
      </w:r>
    </w:p>
    <w:p>
      <w:pPr>
        <w:spacing w:line="360" w:lineRule="auto" w:before="0" w:after="0"/>
        <w:ind w:firstLine="0" w:left="0"/>
        <w:jc w:val="left"/>
      </w:pPr>
      <w:r>
        <w:rPr>
          <w:rFonts w:ascii="Times New Roman" w:hAnsi="Times New Roman" w:cs="Times New Roman" w:eastAsia="Times New Roman"/>
          <w:b w:val="0"/>
          <w:i w:val="0"/>
          <w:color w:val="000000"/>
          <w:sz w:val="28"/>
        </w:rPr>
        <w:t>УПКС — удельный показатель кадастровой стоимости.</w:t>
      </w:r>
    </w:p>
    <w:p>
      <w:pPr>
        <w:spacing w:line="360" w:lineRule="auto" w:before="0" w:after="0"/>
        <w:ind w:firstLine="0" w:left="0"/>
        <w:jc w:val="left"/>
      </w:pPr>
      <w:r>
        <w:rPr>
          <w:rFonts w:ascii="Times New Roman" w:hAnsi="Times New Roman" w:cs="Times New Roman" w:eastAsia="Times New Roman"/>
          <w:b w:val="0"/>
          <w:i w:val="0"/>
          <w:color w:val="000000"/>
          <w:sz w:val="28"/>
        </w:rPr>
        <w:t>ФСО — федеральный стандарт оценки.</w:t>
      </w:r>
    </w:p>
    <w:p>
      <w:pPr>
        <w:spacing w:line="360" w:lineRule="auto" w:before="0" w:after="0"/>
        <w:ind w:firstLine="0" w:left="0"/>
        <w:jc w:val="left"/>
      </w:pPr>
      <w:r>
        <w:rPr>
          <w:rFonts w:ascii="Times New Roman" w:hAnsi="Times New Roman" w:cs="Times New Roman" w:eastAsia="Times New Roman"/>
          <w:b w:val="0"/>
          <w:i w:val="0"/>
          <w:color w:val="000000"/>
          <w:sz w:val="28"/>
        </w:rPr>
        <w:t>X, Y — прямоугольные координаты характерной точки в МСК-50, метры (X — север, Y — восток).</w:t>
      </w:r>
    </w:p>
    <w:p>
      <w:pPr>
        <w:spacing w:line="360" w:lineRule="auto" w:before="0" w:after="0"/>
        <w:ind w:firstLine="0" w:left="0"/>
        <w:jc w:val="left"/>
      </w:pPr>
      <w:r>
        <w:rPr>
          <w:rFonts w:ascii="Times New Roman" w:hAnsi="Times New Roman" w:cs="Times New Roman" w:eastAsia="Times New Roman"/>
          <w:b w:val="0"/>
          <w:i w:val="0"/>
          <w:color w:val="000000"/>
          <w:sz w:val="28"/>
        </w:rPr>
        <w:t>Mt — средняя квадратическая погрешность положения характерной точки границы, метры.</w:t>
      </w:r>
    </w:p>
    <w:p>
      <w:pPr>
        <w:spacing w:line="360" w:lineRule="auto" w:before="0" w:after="0"/>
        <w:ind w:firstLine="0" w:left="0"/>
        <w:jc w:val="left"/>
      </w:pPr>
      <w:r>
        <w:rPr>
          <w:rFonts w:ascii="Times New Roman" w:hAnsi="Times New Roman" w:cs="Times New Roman" w:eastAsia="Times New Roman"/>
          <w:b w:val="0"/>
          <w:i w:val="0"/>
          <w:color w:val="000000"/>
          <w:sz w:val="28"/>
        </w:rPr>
        <w:t>ΔP — предельная допустимая погрешность определения площади, квадратные метры.</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ВВЕДЕНИЕ</w:t>
      </w:r>
    </w:p>
    <w:p>
      <w:pPr>
        <w:spacing w:line="360" w:lineRule="auto" w:before="0" w:after="0"/>
        <w:ind w:firstLine="709" w:left="0"/>
        <w:jc w:val="both"/>
      </w:pPr>
      <w:r>
        <w:rPr>
          <w:rFonts w:ascii="Times New Roman" w:hAnsi="Times New Roman" w:cs="Times New Roman" w:eastAsia="Times New Roman"/>
          <w:b w:val="0"/>
          <w:i w:val="0"/>
          <w:color w:val="000000"/>
          <w:sz w:val="28"/>
        </w:rPr>
        <w:t>Сделка с недвижимостью опирается не на объявление и не на устное описание участка, а на сведения, которые позволяют понять, что именно продается, кому принадлежит объект и на каких условиях им можно пользоваться. Для земельного участка это кадастровый номер, местоположение, площадь, описание границ, категория земель, вид разрешенного использования, сведения о правах и ограничениях, а также кадастровая стоимость. В Российской Федерации такие сведения ведутся в Едином государственном реестре недвижимости. С 1 января 2017 года ЕГРН соединил государственный кадастр недвижимости и Единый государственный реестр прав [4].</w:t>
      </w:r>
    </w:p>
    <w:p>
      <w:pPr>
        <w:spacing w:line="360" w:lineRule="auto" w:before="0" w:after="0"/>
        <w:ind w:firstLine="709" w:left="0"/>
        <w:jc w:val="both"/>
      </w:pPr>
      <w:r>
        <w:rPr>
          <w:rFonts w:ascii="Times New Roman" w:hAnsi="Times New Roman" w:cs="Times New Roman" w:eastAsia="Times New Roman"/>
          <w:b w:val="0"/>
          <w:i w:val="0"/>
          <w:color w:val="000000"/>
          <w:sz w:val="28"/>
        </w:rPr>
        <w:t>Пространственные характеристики участка появляются в реестре не сами по себе. Координаты характерных точек, горизонтальные проложения границ и площадь определяются при кадастровых работах и включаются в межевой план. Межевой план является документом, на основании которого сведения о границах вносятся в ЕГРН [4; 5]. Поэтому вопрос о том, годится ли ЕГРН для решений на рынке, одновременно является вопросом о качестве межевого плана и о том, насколько полно реестр доносит его содержание до покупателя, продавца, кредитора и налогового органа.</w:t>
      </w:r>
    </w:p>
    <w:p>
      <w:pPr>
        <w:spacing w:line="360" w:lineRule="auto" w:before="0" w:after="0"/>
        <w:ind w:firstLine="709" w:left="0"/>
        <w:jc w:val="both"/>
      </w:pPr>
      <w:r>
        <w:rPr>
          <w:rFonts w:ascii="Times New Roman" w:hAnsi="Times New Roman" w:cs="Times New Roman" w:eastAsia="Times New Roman"/>
          <w:b w:val="0"/>
          <w:i w:val="0"/>
          <w:color w:val="000000"/>
          <w:sz w:val="28"/>
        </w:rPr>
        <w:t>Актуальность темы связана с практическим разрывом. Участники рынка нередко принимают кадастровую стоимость за цену участка, а открытую справочную карточку — за полную выписку о правах. Для садового участка в Московской области ошибка такого рода меняет и цену сделки, и ожидания по земельному налогу. Проверить этот разрыв можно только на конкретном объекте, по которому одновременно есть публичные сведения реестра и межевой план с координатами.</w:t>
      </w:r>
    </w:p>
    <w:p>
      <w:pPr>
        <w:spacing w:line="360" w:lineRule="auto" w:before="0" w:after="0"/>
        <w:ind w:firstLine="709" w:left="0"/>
        <w:jc w:val="both"/>
      </w:pPr>
      <w:r>
        <w:rPr>
          <w:rFonts w:ascii="Times New Roman" w:hAnsi="Times New Roman" w:cs="Times New Roman" w:eastAsia="Times New Roman"/>
          <w:b w:val="0"/>
          <w:i w:val="0"/>
          <w:color w:val="000000"/>
          <w:sz w:val="28"/>
        </w:rPr>
        <w:t>Цель курсовой работы — оценить пригодность сведений Единого государственного реестра недвижимости как информационного обеспечения рынка недвижимости на примере земельного участка с кадастровым номером 50:28:0000000:51403.</w:t>
      </w:r>
    </w:p>
    <w:p>
      <w:pPr>
        <w:spacing w:line="360" w:lineRule="auto" w:before="0" w:after="0"/>
        <w:ind w:firstLine="709" w:left="0"/>
        <w:jc w:val="both"/>
      </w:pPr>
      <w:r>
        <w:rPr>
          <w:rFonts w:ascii="Times New Roman" w:hAnsi="Times New Roman" w:cs="Times New Roman" w:eastAsia="Times New Roman"/>
          <w:b w:val="0"/>
          <w:i w:val="0"/>
          <w:color w:val="000000"/>
          <w:sz w:val="28"/>
        </w:rPr>
        <w:t>Объект исследования — Единый государственный реестр недвижимости как информационная основа рынка недвижимости. Предмет исследования — состав, происхождение и пригодность сведений ЕГРН о границах, координатах, площади, правах и кадастровой стоимости земельного участка для рыночных решений. Объект оценки — земельный участок 50:28:0000000:51403, адрес по публичной карточке Росреестра: Российская Федерация, Московская область, г. о. Домодедово, тер. СНТ «Ветеран-5», з/у 7 [18].</w:t>
      </w:r>
    </w:p>
    <w:p>
      <w:pPr>
        <w:spacing w:line="360" w:lineRule="auto" w:before="0" w:after="0"/>
        <w:ind w:firstLine="709" w:left="0"/>
        <w:jc w:val="both"/>
      </w:pPr>
      <w:r>
        <w:rPr>
          <w:rFonts w:ascii="Times New Roman" w:hAnsi="Times New Roman" w:cs="Times New Roman" w:eastAsia="Times New Roman"/>
          <w:b w:val="0"/>
          <w:i w:val="0"/>
          <w:color w:val="000000"/>
          <w:sz w:val="28"/>
        </w:rPr>
        <w:t>Для достижения цели поставлены следующие задачи:</w:t>
      </w:r>
    </w:p>
    <w:p>
      <w:pPr>
        <w:spacing w:line="360" w:lineRule="auto" w:before="0" w:after="0"/>
        <w:ind w:firstLine="709" w:left="0"/>
        <w:jc w:val="both"/>
      </w:pPr>
      <w:r>
        <w:rPr>
          <w:rFonts w:ascii="Times New Roman" w:hAnsi="Times New Roman" w:cs="Times New Roman" w:eastAsia="Times New Roman"/>
          <w:b w:val="0"/>
          <w:i w:val="0"/>
          <w:color w:val="000000"/>
          <w:sz w:val="28"/>
        </w:rPr>
        <w:t>1) раскрыть правовую основу, структуру ЕГРН и состав сведений, которые использует рынок недвижимости;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2) показать, как межевой план становится источником сведений о границах, координатах и площади;</w:t>
      </w:r>
    </w:p>
    <w:p>
      <w:pPr>
        <w:spacing w:line="360" w:lineRule="auto" w:before="0" w:after="0"/>
        <w:ind w:firstLine="709" w:left="0"/>
        <w:jc w:val="both"/>
      </w:pPr>
      <w:r>
        <w:rPr>
          <w:rFonts w:ascii="Times New Roman" w:hAnsi="Times New Roman" w:cs="Times New Roman" w:eastAsia="Times New Roman"/>
          <w:b w:val="0"/>
          <w:i w:val="0"/>
          <w:color w:val="000000"/>
          <w:sz w:val="28"/>
        </w:rPr>
        <w:t>3) определить, какие рыночные решения могут опираться на сведения ЕГРН и где проходят пределы этих сведений;</w:t>
      </w:r>
    </w:p>
    <w:p>
      <w:pPr>
        <w:spacing w:line="360" w:lineRule="auto" w:before="0" w:after="0"/>
        <w:ind w:firstLine="709" w:left="0"/>
        <w:jc w:val="both"/>
      </w:pPr>
      <w:r>
        <w:rPr>
          <w:rFonts w:ascii="Times New Roman" w:hAnsi="Times New Roman" w:cs="Times New Roman" w:eastAsia="Times New Roman"/>
          <w:b w:val="0"/>
          <w:i w:val="0"/>
          <w:color w:val="000000"/>
          <w:sz w:val="28"/>
        </w:rPr>
        <w:t>4) сопоставить публичные сведения ЕГРН и НСПД с межевым планом выбранного участка и проверить геометрические характеристики, включая разбивку контура;</w:t>
      </w:r>
    </w:p>
    <w:p>
      <w:pPr>
        <w:spacing w:line="360" w:lineRule="auto" w:before="0" w:after="0"/>
        <w:ind w:firstLine="709" w:left="0"/>
        <w:jc w:val="both"/>
      </w:pPr>
      <w:r>
        <w:rPr>
          <w:rFonts w:ascii="Times New Roman" w:hAnsi="Times New Roman" w:cs="Times New Roman" w:eastAsia="Times New Roman"/>
          <w:b w:val="0"/>
          <w:i w:val="0"/>
          <w:color w:val="000000"/>
          <w:sz w:val="28"/>
        </w:rPr>
        <w:t>5) определить рыночную стоимость участка сравнительным подходом и сопоставить ее с кадастровой стоимостью;</w:t>
      </w:r>
    </w:p>
    <w:p>
      <w:pPr>
        <w:spacing w:line="360" w:lineRule="auto" w:before="0" w:after="0"/>
        <w:ind w:firstLine="709" w:left="0"/>
        <w:jc w:val="both"/>
      </w:pPr>
      <w:r>
        <w:rPr>
          <w:rFonts w:ascii="Times New Roman" w:hAnsi="Times New Roman" w:cs="Times New Roman" w:eastAsia="Times New Roman"/>
          <w:b w:val="0"/>
          <w:i w:val="0"/>
          <w:color w:val="000000"/>
          <w:sz w:val="28"/>
        </w:rPr>
        <w:t>6) сформулировать рекомендации по использованию сведений ЕГРН при возможной сделке и по повышению пригодности реестра для рынка.</w:t>
      </w:r>
    </w:p>
    <w:p>
      <w:pPr>
        <w:spacing w:line="360" w:lineRule="auto" w:before="0" w:after="0"/>
        <w:ind w:firstLine="709" w:left="0"/>
        <w:jc w:val="both"/>
      </w:pPr>
      <w:r>
        <w:rPr>
          <w:rFonts w:ascii="Times New Roman" w:hAnsi="Times New Roman" w:cs="Times New Roman" w:eastAsia="Times New Roman"/>
          <w:b w:val="0"/>
          <w:i w:val="0"/>
          <w:color w:val="000000"/>
          <w:sz w:val="28"/>
        </w:rPr>
        <w:t>Методы работы: формально-юридический анализ нормативных актов, сопоставление публичной карточки Росреестра, карточки НСПД и межевого плана, геодезический контроль координат и сравнительный подход к оценке [7; 15]. Нормативная база — кодексы, федеральные законы № 218-ФЗ, № 221-ФЗ, № 237-ФЗ, № 135-ФЗ и № 217-ФЗ, приказы о межевом плане и о кадастровой оценке, решение Совета депутатов городского округа Домодедово о земельном налоге [16; 17]. Фактические сведения взяты из карточки, обновленной 28.09.2026 [18], из НСПД [19] и из межевого плана от 09.09.2015 [20]. Дата оценки — 18.10.2026.</w:t>
      </w:r>
    </w:p>
    <w:p>
      <w:pPr>
        <w:spacing w:line="360" w:lineRule="auto" w:before="0" w:after="0"/>
        <w:ind w:firstLine="709" w:left="0"/>
        <w:jc w:val="both"/>
      </w:pPr>
      <w:r>
        <w:rPr>
          <w:rFonts w:ascii="Times New Roman" w:hAnsi="Times New Roman" w:cs="Times New Roman" w:eastAsia="Times New Roman"/>
          <w:b w:val="0"/>
          <w:i w:val="0"/>
          <w:color w:val="000000"/>
          <w:sz w:val="28"/>
        </w:rPr>
        <w:t>Комплект достаточен, чтобы идентифицировать участок, проверить площадь и контур, рассчитать налог от внесенной кадастровой стоимости и показать, какие сведения реестра пригодны для сделки. В нем нет выписки о переходе прав, каталога координат внутри самой публичной карточки, сведений о коммуникациях и отдельного перечня зон с особыми условиями. Эти пробелы в практической части учтены как ограничения, а не заполнены догадками. Цены аналогов взяты из открытых объявлений: в реестре их нет. Работа включает введение, три главы, заключение, список источников и приложения с разбивочной ведомостью и чертежом.</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1 ТЕОРЕТИЧЕСКИЕ ОСНОВЫ ЕДИНОГО ГОСУДАРСТВЕННОГО РЕЕСТРА НЕДВИЖИМОСТИ КАК ИНФОРМАЦИОННОГО ОБЕСПЕЧЕНИЯ РЫНКА НЕДВИЖИМОСТИ</w:t>
      </w:r>
    </w:p>
    <w:p>
      <w:pPr>
        <w:spacing w:line="360" w:lineRule="auto" w:before="240" w:after="240"/>
        <w:ind w:firstLine="0" w:left="0"/>
        <w:jc w:val="center"/>
      </w:pPr>
      <w:r>
        <w:rPr>
          <w:rFonts w:ascii="Times New Roman" w:hAnsi="Times New Roman" w:cs="Times New Roman" w:eastAsia="Times New Roman"/>
          <w:b/>
          <w:i w:val="0"/>
          <w:color w:val="000000"/>
          <w:sz w:val="28"/>
        </w:rPr>
        <w:t>1.1 Правовая природа, структура и состав сведений ЕГРН</w:t>
      </w:r>
    </w:p>
    <w:p>
      <w:pPr>
        <w:spacing w:line="360" w:lineRule="auto" w:before="0" w:after="0"/>
        <w:ind w:firstLine="709" w:left="0"/>
        <w:jc w:val="both"/>
      </w:pPr>
      <w:r>
        <w:rPr>
          <w:rFonts w:ascii="Times New Roman" w:hAnsi="Times New Roman" w:cs="Times New Roman" w:eastAsia="Times New Roman"/>
          <w:b w:val="0"/>
          <w:i w:val="0"/>
          <w:color w:val="000000"/>
          <w:sz w:val="28"/>
        </w:rPr>
        <w:t>Недвижимостью признаются земельные участки, участки недр и все, что прочно связано с землей, то есть объекты, перемещение которых без несоразмерного ущерба их назначению невозможно [1]. Право собственности и другие вещные права на недвижимость, ограничения этих прав, их возникновение, переход и прекращение подлежат государственной регистрации в случаях, установленных законом. Для рынка это означает простое правило: пока характеристика объекта или право на него не отражены в реестре, ссылаться на них при сделке рискованно, даже если они известны продавцу.</w:t>
      </w:r>
    </w:p>
    <w:p>
      <w:pPr>
        <w:spacing w:line="360" w:lineRule="auto" w:before="0" w:after="0"/>
        <w:ind w:firstLine="709" w:left="0"/>
        <w:jc w:val="both"/>
      </w:pPr>
      <w:r>
        <w:rPr>
          <w:rFonts w:ascii="Times New Roman" w:hAnsi="Times New Roman" w:cs="Times New Roman" w:eastAsia="Times New Roman"/>
          <w:b w:val="0"/>
          <w:i w:val="0"/>
          <w:color w:val="000000"/>
          <w:sz w:val="28"/>
        </w:rPr>
        <w:t>Единый государственный реестр недвижимости является сводом достоверных систематизированных сведений об учтенном недвижимом имуществе, о зарегистрированных правах на него, об основаниях их возникновения, о правообладателях, а также об иных сведениях, предусмотренных федеральным законом [4]. Реестр ведется на русском языке, на электронных носителях. До 2017 года кадастровый учет и регистрация прав были разделены между ГКН и ЕГРП. Их объединение сократило ситуацию, при которой участок был описан в кадастре, а право на него подтверждалось отдельной системой. Для покупателя это важно тем, что описание объекта и запись о праве запрашиваются как связанные сведения одного реестра [4; 16].</w:t>
      </w:r>
    </w:p>
    <w:p>
      <w:pPr>
        <w:spacing w:line="360" w:lineRule="auto" w:before="0" w:after="0"/>
        <w:ind w:firstLine="709" w:left="0"/>
        <w:jc w:val="both"/>
      </w:pPr>
      <w:r>
        <w:rPr>
          <w:rFonts w:ascii="Times New Roman" w:hAnsi="Times New Roman" w:cs="Times New Roman" w:eastAsia="Times New Roman"/>
          <w:b w:val="0"/>
          <w:i w:val="0"/>
          <w:color w:val="000000"/>
          <w:sz w:val="28"/>
        </w:rPr>
        <w:t>По своему составу ЕГРН включает реестр объектов недвижимости, реестр прав, ограничений прав и обременений, реестровые дела, кадастровые карты и книги учета документов [4]. Реестр объектов недвижимости хранит характеристики, которые отвечают на вопрос «что это за объект». Реестр прав отвечает на вопрос «кто и на каком праве им владеет и что этому праву мешает». Кадастровая карта показывает пространственное положение. Реестровое дело собирает документы-основания, в том числе межевой план. Учебная литература по кадастру подчеркивает, что ни одна из этих частей по отдельности не заменяет остальные: карта без записи о праве не доказывает собственность, а запись о праве без координат не позволяет однозначно вынести границу на местность [16; 17].</w:t>
      </w:r>
    </w:p>
    <w:p>
      <w:pPr>
        <w:spacing w:line="360" w:lineRule="auto" w:before="0" w:after="0"/>
        <w:ind w:firstLine="709" w:left="0"/>
        <w:jc w:val="both"/>
      </w:pPr>
      <w:r>
        <w:rPr>
          <w:rFonts w:ascii="Times New Roman" w:hAnsi="Times New Roman" w:cs="Times New Roman" w:eastAsia="Times New Roman"/>
          <w:b w:val="0"/>
          <w:i w:val="0"/>
          <w:color w:val="000000"/>
          <w:sz w:val="28"/>
        </w:rPr>
        <w:t>В отношении земельного участка в кадастре недвижимости указываются вид объекта, кадастровый номер, описание местоположения границ (список координат характерных точек), площадь, категория земель, вид разрешенного использования, адрес или иное описание местоположения, кадастровая стоимость, сведения о лесах, водных объектах и иных природных объектах в границах участка, сведения о частях участка и об обременениях, если они относятся к части [4]. Именно этот набор образует информационный минимум, с которым работает рынок. Категория и вид разрешенного использования определяют правовой режим. Площадь и границы определяют предмет сделки количественно и пространственно. Кадастровая стоимость определяет налоговую базу и часто ошибочно принимается за ориентир цены.</w:t>
      </w:r>
    </w:p>
    <w:p>
      <w:pPr>
        <w:spacing w:line="360" w:lineRule="auto" w:before="0" w:after="0"/>
        <w:ind w:firstLine="709" w:left="0"/>
        <w:jc w:val="both"/>
      </w:pPr>
      <w:r>
        <w:rPr>
          <w:rFonts w:ascii="Times New Roman" w:hAnsi="Times New Roman" w:cs="Times New Roman" w:eastAsia="Times New Roman"/>
          <w:b w:val="0"/>
          <w:i w:val="0"/>
          <w:color w:val="000000"/>
          <w:sz w:val="28"/>
        </w:rPr>
        <w:t>Кадастровый номер — неизменяемый идентификатор объекта. Он складывается из кода субъекта, номера кадастрового района, номера квартала и номера объекта и не заменяется адресом: адрес меняется вместе с муниципальным устройством, номер сохраняется. У ранее учтенных участков в номере встречается нулевой квартал. Пространственный квартал тогда виден только на карте или в выписке. На поиске объекта это сказывается прямо: покупатель не выведет квартал из самого номера.</w:t>
      </w:r>
    </w:p>
    <w:p>
      <w:pPr>
        <w:spacing w:line="360" w:lineRule="auto" w:before="0" w:after="0"/>
        <w:ind w:firstLine="709" w:left="0"/>
        <w:jc w:val="both"/>
      </w:pPr>
      <w:r>
        <w:rPr>
          <w:rFonts w:ascii="Times New Roman" w:hAnsi="Times New Roman" w:cs="Times New Roman" w:eastAsia="Times New Roman"/>
          <w:b w:val="0"/>
          <w:i w:val="0"/>
          <w:color w:val="000000"/>
          <w:sz w:val="28"/>
        </w:rPr>
        <w:t>Сведения ЕГРН являются общедоступными, если законом не установлено иное. Персональные данные правообладателя в открытый просмотр без запроса не выносятся в том же объеме, в каком они содержатся в выписке, выдаваемой заинтересованному лицу. Поэтому «посмотреть участок на карте» и «получить сведения, достаточные для договора» — разные действия. Статья 62 Федерального закона № 218-ФЗ определяет порядок предоставления сведений. Выписка об основных характеристиках и зарегистрированных правах, выписка о переходе прав на объект и выписка о кадастровой стоимости закрывают разные вопросы. Срок предоставления по общему правилу составляет три рабочих дня со дня получения запроса органом регистрации прав [4].</w:t>
      </w:r>
    </w:p>
    <w:p>
      <w:pPr>
        <w:spacing w:line="360" w:lineRule="auto" w:before="0" w:after="0"/>
        <w:ind w:firstLine="709" w:left="0"/>
        <w:jc w:val="both"/>
      </w:pPr>
      <w:r>
        <w:rPr>
          <w:rFonts w:ascii="Times New Roman" w:hAnsi="Times New Roman" w:cs="Times New Roman" w:eastAsia="Times New Roman"/>
          <w:b w:val="0"/>
          <w:i w:val="0"/>
          <w:color w:val="000000"/>
          <w:sz w:val="28"/>
        </w:rPr>
        <w:t>Открытая справочная карточка формируется из сведений ЕГРН, но не заменяет выписку. Она удобна для предварительного отбора объекта и недостаточна как доказательство отсутствия ареста, ипотеки или спора: состав экрана сокращен, а дата его обновления может отставать от реестра.</w:t>
      </w:r>
    </w:p>
    <w:p>
      <w:pPr>
        <w:spacing w:line="360" w:lineRule="auto" w:before="240" w:after="240"/>
        <w:ind w:firstLine="0" w:left="0"/>
        <w:jc w:val="center"/>
      </w:pPr>
      <w:r>
        <w:rPr>
          <w:rFonts w:ascii="Times New Roman" w:hAnsi="Times New Roman" w:cs="Times New Roman" w:eastAsia="Times New Roman"/>
          <w:b/>
          <w:i w:val="0"/>
          <w:color w:val="000000"/>
          <w:sz w:val="28"/>
        </w:rPr>
        <w:t>1.2 Межевой план как источник сведений о границах, координатах и площади</w:t>
      </w:r>
    </w:p>
    <w:p>
      <w:pPr>
        <w:spacing w:line="360" w:lineRule="auto" w:before="0" w:after="0"/>
        <w:ind w:firstLine="709" w:left="0"/>
        <w:jc w:val="both"/>
      </w:pPr>
      <w:r>
        <w:rPr>
          <w:rFonts w:ascii="Times New Roman" w:hAnsi="Times New Roman" w:cs="Times New Roman" w:eastAsia="Times New Roman"/>
          <w:b w:val="0"/>
          <w:i w:val="0"/>
          <w:color w:val="000000"/>
          <w:sz w:val="28"/>
        </w:rPr>
        <w:t>Граница земельного участка в реестре — это не линия на аэрофотоснимке, а список координат характерных точек, между которыми проходят части границы. Пока координат нет, площадь может быть указана по правоустанавливающему документу как «декларированная», а контур на публичной карте либо отсутствует, либо показан ориентировочно. Внести координаты можно по результатам кадастровых работ. Документом, который передает результат этих работ в орган регистрации, является межевой план [4; 5].</w:t>
      </w:r>
    </w:p>
    <w:p>
      <w:pPr>
        <w:spacing w:line="360" w:lineRule="auto" w:before="0" w:after="0"/>
        <w:ind w:firstLine="709" w:left="0"/>
        <w:jc w:val="both"/>
      </w:pPr>
      <w:r>
        <w:rPr>
          <w:rFonts w:ascii="Times New Roman" w:hAnsi="Times New Roman" w:cs="Times New Roman" w:eastAsia="Times New Roman"/>
          <w:b w:val="0"/>
          <w:i w:val="0"/>
          <w:color w:val="000000"/>
          <w:sz w:val="28"/>
        </w:rPr>
        <w:t>Межевой план составляется кадастровым инженером на основе кадастрового плана территории или выписки из ЕГРН. В нем воспроизводятся уже внесенные в реестр сведения и указываются новые сведения, необходимые для учета: об образуемом участке, о части участка либо об уточняемом местоположении границы [4]. Кадастровый инженер несет ответственность за достоверность внесенных в план сведений. Для рынка это означает, что качество границы в ЕГРН не выше качества измерений, исходных документов и согласования, которые легли в межевой план.</w:t>
      </w:r>
    </w:p>
    <w:p>
      <w:pPr>
        <w:spacing w:line="360" w:lineRule="auto" w:before="0" w:after="0"/>
        <w:ind w:firstLine="709" w:left="0"/>
        <w:jc w:val="both"/>
      </w:pPr>
      <w:r>
        <w:rPr>
          <w:rFonts w:ascii="Times New Roman" w:hAnsi="Times New Roman" w:cs="Times New Roman" w:eastAsia="Times New Roman"/>
          <w:b w:val="0"/>
          <w:i w:val="0"/>
          <w:color w:val="000000"/>
          <w:sz w:val="28"/>
        </w:rPr>
        <w:t>Форма плана менялась вместе с законодательством. План от 09.09.2015 составлен по приказу Минэкономразвития России от 24.11.2008 № 412 [10] в период действия Федерального закона № 221-ФЗ [5]. Сейчас форма и требования утверждены приказом Росреестра от 14.12.2021 № П/0592 [9]. Уже внесенные сведения смена формы не отменяет. Новый план, если границу придется уточнять снова, готовится уже по действующему приказу.</w:t>
      </w:r>
    </w:p>
    <w:p>
      <w:pPr>
        <w:spacing w:line="360" w:lineRule="auto" w:before="0" w:after="0"/>
        <w:ind w:firstLine="709" w:left="0"/>
        <w:jc w:val="both"/>
      </w:pPr>
      <w:r>
        <w:rPr>
          <w:rFonts w:ascii="Times New Roman" w:hAnsi="Times New Roman" w:cs="Times New Roman" w:eastAsia="Times New Roman"/>
          <w:b w:val="0"/>
          <w:i w:val="0"/>
          <w:color w:val="000000"/>
          <w:sz w:val="28"/>
        </w:rPr>
        <w:t>Текстовая часть плана уточнения границы содержит исходные данные, геодезическую основу, метод и точность координат, каталог точек, длины частей границы, смежества и заключение кадастрового инженера. Графическая часть содержит схему построений, схему расположения и чертеж участка [9; 10]. Акт согласования границы обязателен, когда уточнение затрагивает смежные землепользования [5].</w:t>
      </w:r>
    </w:p>
    <w:p>
      <w:pPr>
        <w:spacing w:line="360" w:lineRule="auto" w:before="0" w:after="0"/>
        <w:ind w:firstLine="709" w:left="0"/>
        <w:jc w:val="both"/>
      </w:pPr>
      <w:r>
        <w:rPr>
          <w:rFonts w:ascii="Times New Roman" w:hAnsi="Times New Roman" w:cs="Times New Roman" w:eastAsia="Times New Roman"/>
          <w:b w:val="0"/>
          <w:i w:val="0"/>
          <w:color w:val="000000"/>
          <w:sz w:val="28"/>
        </w:rPr>
        <w:t>В ЕГРН переходит результат плана: координаты, их погрешность, площадь, допуск площади и описание смежеств. Журнал измерений, сведения о приборе и акт согласования остаются в межевом плане и в реестровом деле. Публичная карточка показывает площадь и, через карту, контур. Каталог координат, без которого границу нельзя вынести на местность, виден в выписке и в самом плане. Для купли-продажи достаточно согласованности площади, контура и записи о праве. Для разбивки и для спора о заборе нужен каталог.</w:t>
      </w:r>
    </w:p>
    <w:p>
      <w:pPr>
        <w:spacing w:line="360" w:lineRule="auto" w:before="0" w:after="0"/>
        <w:ind w:firstLine="709" w:left="0"/>
        <w:jc w:val="both"/>
      </w:pPr>
      <w:r>
        <w:rPr>
          <w:rFonts w:ascii="Times New Roman" w:hAnsi="Times New Roman" w:cs="Times New Roman" w:eastAsia="Times New Roman"/>
          <w:b w:val="0"/>
          <w:i w:val="0"/>
          <w:color w:val="000000"/>
          <w:sz w:val="28"/>
        </w:rPr>
        <w:t>Точность положения характерной точки при спутниковых измерениях оценивается средней квадратической погрешностью. В плане 2015 года применена формула сложения независимых погрешностей спутникового определения и закрепления межевого знака:</w:t>
      </w:r>
    </w:p>
    <w:p>
      <w:pPr>
        <w:spacing w:line="360" w:lineRule="auto" w:before="120" w:after="120"/>
        <w:ind w:firstLine="0" w:left="0"/>
        <w:jc w:val="center"/>
      </w:pPr>
      <w:r>
        <w:rPr>
          <w:rFonts w:ascii="Times New Roman" w:hAnsi="Times New Roman" w:cs="Times New Roman" w:eastAsia="Times New Roman"/>
          <w:b w:val="0"/>
          <w:i w:val="0"/>
          <w:color w:val="000000"/>
          <w:sz w:val="28"/>
        </w:rPr>
        <w:t>Mt = √(m₀² + m₁²) = √(0,06² + 0,20²).    (1)</w:t>
      </w:r>
    </w:p>
    <w:p>
      <w:pPr>
        <w:spacing w:line="360" w:lineRule="auto" w:before="0" w:after="0"/>
        <w:ind w:firstLine="709" w:left="0"/>
        <w:jc w:val="both"/>
      </w:pPr>
      <w:r>
        <w:rPr>
          <w:rFonts w:ascii="Times New Roman" w:hAnsi="Times New Roman" w:cs="Times New Roman" w:eastAsia="Times New Roman"/>
          <w:b w:val="0"/>
          <w:i w:val="0"/>
          <w:color w:val="000000"/>
          <w:sz w:val="28"/>
        </w:rPr>
        <w:t>Здесь m₀ = 0,06 м — погрешность спутниковых измерений, m₁ = 0,20 м — погрешность, связанная с межевым знаком. Подкоренное выражение равно 0,0436, следовательно Mt = 0,209 м. В самом плане результат записан как 0,20 м. Расхождение относится к округлению и в практической части проверено отдельно: на предельную погрешность площади оно влияет в пределах одного квадратного метра и не меняет вывода о пригодности контура.</w:t>
      </w:r>
    </w:p>
    <w:p>
      <w:pPr>
        <w:spacing w:line="360" w:lineRule="auto" w:before="0" w:after="0"/>
        <w:ind w:firstLine="709" w:left="0"/>
        <w:jc w:val="both"/>
      </w:pPr>
      <w:r>
        <w:rPr>
          <w:rFonts w:ascii="Times New Roman" w:hAnsi="Times New Roman" w:cs="Times New Roman" w:eastAsia="Times New Roman"/>
          <w:b w:val="0"/>
          <w:i w:val="0"/>
          <w:color w:val="000000"/>
          <w:sz w:val="28"/>
        </w:rPr>
        <w:t>Площадь по координатам вычисляется по формуле Гаусса (она же формула землемера, или формула шнурования):</w:t>
      </w:r>
    </w:p>
    <w:p>
      <w:pPr>
        <w:spacing w:line="360" w:lineRule="auto" w:before="120" w:after="120"/>
        <w:ind w:firstLine="0" w:left="0"/>
        <w:jc w:val="center"/>
      </w:pPr>
      <w:r>
        <w:rPr>
          <w:rFonts w:ascii="Times New Roman" w:hAnsi="Times New Roman" w:cs="Times New Roman" w:eastAsia="Times New Roman"/>
          <w:b w:val="0"/>
          <w:i w:val="0"/>
          <w:color w:val="000000"/>
          <w:sz w:val="28"/>
        </w:rPr>
        <w:t>P = ½ |Σ (Xi · Yi+1 − Xi+1 · Yi)|.    (2)</w:t>
      </w:r>
    </w:p>
    <w:p>
      <w:pPr>
        <w:spacing w:line="360" w:lineRule="auto" w:before="0" w:after="0"/>
        <w:ind w:firstLine="709" w:left="0"/>
        <w:jc w:val="both"/>
      </w:pPr>
      <w:r>
        <w:rPr>
          <w:rFonts w:ascii="Times New Roman" w:hAnsi="Times New Roman" w:cs="Times New Roman" w:eastAsia="Times New Roman"/>
          <w:b w:val="0"/>
          <w:i w:val="0"/>
          <w:color w:val="000000"/>
          <w:sz w:val="28"/>
        </w:rPr>
        <w:t>Предельная допустимая погрешность определения площади по требованиям, действовавшим для данной формы плана, связана с погрешностью точек и с площадью:</w:t>
      </w:r>
    </w:p>
    <w:p>
      <w:pPr>
        <w:spacing w:line="360" w:lineRule="auto" w:before="120" w:after="120"/>
        <w:ind w:firstLine="0" w:left="0"/>
        <w:jc w:val="center"/>
      </w:pPr>
      <w:r>
        <w:rPr>
          <w:rFonts w:ascii="Times New Roman" w:hAnsi="Times New Roman" w:cs="Times New Roman" w:eastAsia="Times New Roman"/>
          <w:b w:val="0"/>
          <w:i w:val="0"/>
          <w:color w:val="000000"/>
          <w:sz w:val="28"/>
        </w:rPr>
        <w:t>ΔP = 3,5 · Mt · √P.    (3)</w:t>
      </w:r>
    </w:p>
    <w:p>
      <w:pPr>
        <w:spacing w:line="360" w:lineRule="auto" w:before="0" w:after="0"/>
        <w:ind w:firstLine="709" w:left="0"/>
        <w:jc w:val="both"/>
      </w:pPr>
      <w:r>
        <w:rPr>
          <w:rFonts w:ascii="Times New Roman" w:hAnsi="Times New Roman" w:cs="Times New Roman" w:eastAsia="Times New Roman"/>
          <w:b w:val="0"/>
          <w:i w:val="0"/>
          <w:color w:val="000000"/>
          <w:sz w:val="28"/>
        </w:rPr>
        <w:t>Если площадь по координатам и площадь по правоустанавливающему документу различаются не больше чем на ΔP, кадастровый инженер указывает площадь по документу, а расхождение признается допустимым. Для рынка это означает, что в договоре следует называть площадь, внесенную в ЕГРН, и одновременно понимать допуск. Покупатель приобретает участок площадью P с допустимым отклонением ΔP, а не «ровно P квадратных метров без всякой погрешности».</w:t>
      </w:r>
    </w:p>
    <w:p>
      <w:pPr>
        <w:spacing w:line="360" w:lineRule="auto" w:before="0" w:after="0"/>
        <w:ind w:firstLine="709" w:left="0"/>
        <w:jc w:val="both"/>
      </w:pPr>
      <w:r>
        <w:rPr>
          <w:rFonts w:ascii="Times New Roman" w:hAnsi="Times New Roman" w:cs="Times New Roman" w:eastAsia="Times New Roman"/>
          <w:b w:val="0"/>
          <w:i w:val="0"/>
          <w:color w:val="000000"/>
          <w:sz w:val="28"/>
        </w:rPr>
        <w:t>Согласование границы проводится с правообладателями смежных участков. Результат фиксируется актом. Отсутствие возражений делает границу пригодной для учета. Если правообладатель смежного участка неизвестен, инженер отражает это в акте, а соответствующая часть границы может считаться ранее согласованной только при наличии предусмотренных законом оснований [5]. Такая часть остается зоной повышенного внимания при следующей сделке: реестр покажет координаты, но риск спора выше, чем на стороне, где сосед лично подписал акт.</w:t>
      </w:r>
    </w:p>
    <w:p>
      <w:pPr>
        <w:spacing w:line="360" w:lineRule="auto" w:before="0" w:after="0"/>
        <w:ind w:firstLine="709" w:left="0"/>
        <w:jc w:val="both"/>
      </w:pPr>
      <w:r>
        <w:rPr>
          <w:rFonts w:ascii="Times New Roman" w:hAnsi="Times New Roman" w:cs="Times New Roman" w:eastAsia="Times New Roman"/>
          <w:b w:val="0"/>
          <w:i w:val="0"/>
          <w:color w:val="000000"/>
          <w:sz w:val="28"/>
        </w:rPr>
        <w:t>Связь межевого плана с рыночным решением можно представить как последовательность, в которой каждый следующий шаг использует результат предыдущего и одновременно теряет часть подробностей (рисунок 1).</w:t>
      </w:r>
    </w:p>
    <w:p>
      <w:pPr>
        <w:keepNext/>
        <w:keepLines/>
        <w:spacing w:line="360" w:lineRule="auto" w:before="120" w:after="40"/>
        <w:ind w:firstLine="0" w:left="0"/>
        <w:jc w:val="center"/>
      </w:pPr>
      <w:r>
        <w:drawing>
          <wp:inline xmlns:a="http://schemas.openxmlformats.org/drawingml/2006/main" xmlns:pic="http://schemas.openxmlformats.org/drawingml/2006/picture">
            <wp:extent cx="5832000" cy="1872661"/>
            <wp:docPr id="1" name="Picture 1"/>
            <wp:cNvGraphicFramePr>
              <a:graphicFrameLocks noChangeAspect="1"/>
            </wp:cNvGraphicFramePr>
            <a:graphic>
              <a:graphicData uri="http://schemas.openxmlformats.org/drawingml/2006/picture">
                <pic:pic>
                  <pic:nvPicPr>
                    <pic:cNvPr id="0" name="flow.png"/>
                    <pic:cNvPicPr/>
                  </pic:nvPicPr>
                  <pic:blipFill>
                    <a:blip r:embed="rId10"/>
                    <a:stretch>
                      <a:fillRect/>
                    </a:stretch>
                  </pic:blipFill>
                  <pic:spPr>
                    <a:xfrm>
                      <a:off x="0" y="0"/>
                      <a:ext cx="5832000" cy="1872661"/>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1 – Путь сведений от межевого плана к решению на рынке недвижимости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Из рисунка 1 видно предел реестра. Координаты и площадь нужны для тождества объекта, запись о праве — для полномочий продавца, кадастровая стоимость — для налога, но не для замены рыночной цены. Подробности измерений остаются в межевом плане.</w:t>
      </w:r>
    </w:p>
    <w:p>
      <w:pPr>
        <w:spacing w:line="360" w:lineRule="auto" w:before="240" w:after="240"/>
        <w:ind w:firstLine="0" w:left="0"/>
        <w:jc w:val="center"/>
      </w:pPr>
      <w:r>
        <w:rPr>
          <w:rFonts w:ascii="Times New Roman" w:hAnsi="Times New Roman" w:cs="Times New Roman" w:eastAsia="Times New Roman"/>
          <w:b/>
          <w:i w:val="0"/>
          <w:color w:val="000000"/>
          <w:sz w:val="28"/>
        </w:rPr>
        <w:t>1.3 Сведения ЕГРН при принятии решений на рынке недвижимости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Рыночная стоимость — это наиболее вероятная цена, по которой объект может быть отчужден на открытом рынке в условиях конкуренции, когда стороны действуют разумно, располагают всей необходимой информацией, а на величине цены не отражаются чрезвычайные обстоятельства [7]. Определение требует информации. ЕГРН закрывает ее юридическую и идентификационную часть: без реестра покупатель не знает, тот ли объект он покупает и вправе ли продавец его продать. Ценовую часть реестр закрывает лишь косвенно. Кадастровая стоимость устанавливается методами массовой оценки по состоянию на определенную дату и вносится в ЕГРН для целей, предусмотренных законом, прежде всего для налогообложения [2; 3; 6].</w:t>
      </w:r>
    </w:p>
    <w:p>
      <w:pPr>
        <w:spacing w:line="360" w:lineRule="auto" w:before="0" w:after="0"/>
        <w:ind w:firstLine="709" w:left="0"/>
        <w:jc w:val="both"/>
      </w:pPr>
      <w:r>
        <w:rPr>
          <w:rFonts w:ascii="Times New Roman" w:hAnsi="Times New Roman" w:cs="Times New Roman" w:eastAsia="Times New Roman"/>
          <w:b w:val="0"/>
          <w:i w:val="0"/>
          <w:color w:val="000000"/>
          <w:sz w:val="28"/>
        </w:rPr>
        <w:t>Статья 66 Земельного кодекса разводит две величины. Кадастровая стоимость определяется в порядке, установленном законодательством об оценочной деятельности и о государственной кадастровой оценке. Если в отношении участка определена рыночная стоимость, кадастровая стоимость устанавливается равной рыночной [2]. Отсюда следует не то, что кадастровая стоимость всегда равна рыночной, а то, что равенство достигается отдельной процедурой. Пока такой процедуры не было, величина в ЕГРН остается результатом массовой оценки. Использовать ее как цену оферты методологически неверно.</w:t>
      </w:r>
    </w:p>
    <w:p>
      <w:pPr>
        <w:spacing w:line="360" w:lineRule="auto" w:before="0" w:after="0"/>
        <w:ind w:firstLine="709" w:left="0"/>
        <w:jc w:val="both"/>
      </w:pPr>
      <w:r>
        <w:rPr>
          <w:rFonts w:ascii="Times New Roman" w:hAnsi="Times New Roman" w:cs="Times New Roman" w:eastAsia="Times New Roman"/>
          <w:b w:val="0"/>
          <w:i w:val="0"/>
          <w:color w:val="000000"/>
          <w:sz w:val="28"/>
        </w:rPr>
        <w:t>Массовая оценка группирует участки по видам использования и по территории. Методические указания, утвержденные приказом Росреестра от 04.08.2021 № П/0336, выделяют садоводство отдельно от индивидуальной жилой застройки [11]. Удельный показатель усредняет положение внутри группы: он учитывает квартал и вид использования и не учитывает колодец, подъезд конкретной улицы и фактическое отсутствие электричества. Поэтому добросовестно определенная кадастровая стоимость может расходиться с ценами предложений в конкретном товариществе.</w:t>
      </w:r>
    </w:p>
    <w:p>
      <w:pPr>
        <w:spacing w:line="360" w:lineRule="auto" w:before="0" w:after="0"/>
        <w:ind w:firstLine="709" w:left="0"/>
        <w:jc w:val="both"/>
      </w:pPr>
      <w:r>
        <w:rPr>
          <w:rFonts w:ascii="Times New Roman" w:hAnsi="Times New Roman" w:cs="Times New Roman" w:eastAsia="Times New Roman"/>
          <w:b w:val="0"/>
          <w:i w:val="0"/>
          <w:color w:val="000000"/>
          <w:sz w:val="28"/>
        </w:rPr>
        <w:t>Налоговой базой земельного налога является кадастровая стоимость, внесенная в ЕГРН и подлежащая применению на 1 января налогового периода [3]. Ставку в пределах, заданных Налоговым кодексом, устанавливает муниципалитет. Для садоводства федеральный предел составляет 0,3 процента, местная ставка может быть ниже. Из реестра берутся стоимость, категория и вид разрешенного использования, а ставка лежит вне ЕГРН. Реестр для налога необходим, но одной карточкой сумма налога не определяется.</w:t>
      </w:r>
    </w:p>
    <w:p>
      <w:pPr>
        <w:spacing w:line="360" w:lineRule="auto" w:before="0" w:after="0"/>
        <w:ind w:firstLine="709" w:left="0"/>
        <w:jc w:val="both"/>
      </w:pPr>
      <w:r>
        <w:rPr>
          <w:rFonts w:ascii="Times New Roman" w:hAnsi="Times New Roman" w:cs="Times New Roman" w:eastAsia="Times New Roman"/>
          <w:b w:val="0"/>
          <w:i w:val="0"/>
          <w:color w:val="000000"/>
          <w:sz w:val="28"/>
        </w:rPr>
        <w:t>Разные решения требуют разного состава сведений. Отождествление объекта на местности требует кадастрового номера, адреса и координат. Проверка полномочий продавца требует актуальной записи о праве и об отсутствии ограничений. Назначение цены требует площади из ЕГРН и рыночных аналогов, которых в ЕГРН нет. Расчет налога требует кадастровой стоимости и местной ставки. Решение банка о залоге обычно требует установленных границ: участок без координат, сохраняющий статус ранее учтенного, кредитная организация часто не принимает. Решение о строительстве садового дома требует вида разрешенного использования и дополнительно градостроительного регламента, который ведется вне ЕГРН [8]. Сводка приведена в таблице 1.</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1 – Пригодность сведений ЕГРН для типовых решений на рынке</w:t>
      </w:r>
    </w:p>
    <w:tbl>
      <w:tblPr>
        <w:tblW w:type="dxa" w:w="9639"/>
        <w:jc w:val="center"/>
        <w:tblLayout w:type="fixed"/>
        <w:tblLook w:firstColumn="1" w:firstRow="1" w:lastColumn="0" w:lastRow="0" w:noHBand="0" w:noVBand="1" w:val="04A0"/>
      </w:tblPr>
      <w:tblGrid>
        <w:gridCol w:w="2381"/>
        <w:gridCol w:w="3628"/>
        <w:gridCol w:w="3628"/>
      </w:tblGrid>
      <w:tr>
        <w:trPr>
          <w:cantSplit/>
          <w:tblHeader/>
        </w:trPr>
        <w:tc>
          <w:tcPr>
            <w:tcW w:type="dxa" w:w="2381"/>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Решение</w:t>
            </w:r>
          </w:p>
        </w:tc>
        <w:tc>
          <w:tcPr>
            <w:tcW w:type="dxa" w:w="362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Что берется из ЕГРН</w:t>
            </w:r>
          </w:p>
        </w:tc>
        <w:tc>
          <w:tcPr>
            <w:tcW w:type="dxa" w:w="362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Чего в ЕГРН недостаточно</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Убедиться, что объект существует и совпадает с показом</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Кадастровый номер, адрес, площадь, контур на карте, статус записи</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Координат в открытой карточке может не быть; нужен каталог или выписка</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Проверить право продавца</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Вид права, номер и дата регистрации; в выписке — правообладатель</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Открытая карточка не называет гражданина; историю дает выписка о переходе прав</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Исключить обременение</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Раздел ограничений в выписке</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Пустой экран справочной карточки не заменяет выписку</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Назначить цену сделки</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 как количество; категория и ВРИ как режим</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Цен предложений и сделок в публичной карточке нет</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Исчислить земельный налог</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Кадастровая стоимость на нужную дату</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Ставка налога устанавливается муниципальным актом</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Передать участок в залог</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Наличие координат границы, запись о праве</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Статус «ранее учтенный» при спорном контуре требует отдельной проверки</w:t>
            </w:r>
          </w:p>
        </w:tc>
      </w:tr>
      <w:tr>
        <w:trPr>
          <w:cantSplit/>
        </w:trPr>
        <w:tc>
          <w:tcPr>
            <w:tcW w:type="dxa" w:w="238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Оценить возможность строительства</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Категория земель и ВРИ</w:t>
            </w:r>
          </w:p>
        </w:tc>
        <w:tc>
          <w:tcPr>
            <w:tcW w:type="dxa" w:w="362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Градостроительный регламент и полный перечень ЗОУИТ</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Таблица 1 задает критерий, который дальше применяется к конкретному участку. Сведение пригодно, если оно есть в реестре, относится к нужному решению и не противоречит другим официальным источникам. Сведение непригодно как единственное основание, если реестр содержит только усредненную или сокращенную величину, а решение зависит от индивидуальной характеристики. Кадастровая стоимость — главный пример второго случая. Площадь, подтвержденная координатами межевого плана, — главный пример первого.</w:t>
      </w:r>
    </w:p>
    <w:p>
      <w:pPr>
        <w:spacing w:line="360" w:lineRule="auto" w:before="0" w:after="0"/>
        <w:ind w:firstLine="709" w:left="0"/>
        <w:jc w:val="both"/>
      </w:pPr>
      <w:r>
        <w:rPr>
          <w:rFonts w:ascii="Times New Roman" w:hAnsi="Times New Roman" w:cs="Times New Roman" w:eastAsia="Times New Roman"/>
          <w:b w:val="0"/>
          <w:i w:val="0"/>
          <w:color w:val="000000"/>
          <w:sz w:val="28"/>
        </w:rPr>
        <w:t>Для незастроенного садового участка основным является сравнительный подход: есть рынок сходных объектов [7; 15]. Затратный подход не применяется, потому что земля не создается как улучшение. Доходный подход не применяется: устойчивой аренды такого участка в источниках, сопоставимых с ЕГРН, нет. Справочная карточка при этом не показывает цену договора, поэтому аналоги берутся из предложений и корректируются на торг. Реестр описывает объект и не содержит самих цен.</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2 ОЦЕНКА ПРИГОДНОСТИ СВЕДЕНИЙ ЕГРН НА ПРИМЕРЕ ЗЕМЕЛЬНОГО УЧАСТКА 50:28:0000000:51403</w:t>
      </w:r>
    </w:p>
    <w:p>
      <w:pPr>
        <w:spacing w:line="360" w:lineRule="auto" w:before="240" w:after="240"/>
        <w:ind w:firstLine="0" w:left="0"/>
        <w:jc w:val="center"/>
      </w:pPr>
      <w:r>
        <w:rPr>
          <w:rFonts w:ascii="Times New Roman" w:hAnsi="Times New Roman" w:cs="Times New Roman" w:eastAsia="Times New Roman"/>
          <w:b/>
          <w:i w:val="0"/>
          <w:color w:val="000000"/>
          <w:sz w:val="28"/>
        </w:rPr>
        <w:t>2.1 Характеристика объекта оценки по данным ЕГРН, НСПД и межевого плана</w:t>
      </w:r>
    </w:p>
    <w:p>
      <w:pPr>
        <w:spacing w:line="360" w:lineRule="auto" w:before="0" w:after="0"/>
        <w:ind w:firstLine="709" w:left="0"/>
        <w:jc w:val="both"/>
      </w:pPr>
      <w:r>
        <w:rPr>
          <w:rFonts w:ascii="Times New Roman" w:hAnsi="Times New Roman" w:cs="Times New Roman" w:eastAsia="Times New Roman"/>
          <w:b w:val="0"/>
          <w:i w:val="0"/>
          <w:color w:val="000000"/>
          <w:sz w:val="28"/>
        </w:rPr>
        <w:t>Обработка объекта повторяет путь рисунка 1. Сначала собраны публичная карточка Росреестра, карточка и карта НСПД, затем разобран межевой план от 09.09.2015. Координаты проверены расчетом, по ним построен разбивочный чертеж, после чего сопоставлены рыночная и кадастровая стоимости.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По справочной информации Росреестра, обновленной 28.09.2026, объект является земельным участком, статус записи — «актуально». Кадастровый номер 50:28:0000000:51403 присвоен 24.04.2015. Форма собственности — частная. Адрес: Российская Федерация, Московская область, г. о. Домодедово, тер. СНТ «Ветеран-5», з/у 7. Площадь — 1 005 кв. м. Категория земель — земли сельскохозяйственного назначения. Вид разрешенного использования — для садоводства. Кадастровая стоимость — 3 078 864,73 руб., дата определения стоимости — 01.01.2022, дата внесения сведения — 05.12.2025. В разделе прав указана собственность, номер регистрации 50-50/028-50/028/005/2016-1164/1 от 22.03.2016 [18].</w:t>
      </w:r>
    </w:p>
    <w:p>
      <w:pPr>
        <w:spacing w:line="360" w:lineRule="auto" w:before="0" w:after="0"/>
        <w:ind w:firstLine="709" w:left="0"/>
        <w:jc w:val="both"/>
      </w:pPr>
      <w:r>
        <w:rPr>
          <w:rFonts w:ascii="Times New Roman" w:hAnsi="Times New Roman" w:cs="Times New Roman" w:eastAsia="Times New Roman"/>
          <w:b w:val="0"/>
          <w:i w:val="0"/>
          <w:color w:val="000000"/>
          <w:sz w:val="28"/>
        </w:rPr>
        <w:t>Карточка НСПД подтверждает тот же номер, ту же дату присвоения номера, ту же площадь как «уточненную», ту же категорию, тот же вид разрешенного использования и частную форму собственности. Дополнительно указаны вид земельного участка «землепользование», кадастровый квартал 50:28:0090134 и удельный показатель кадастровой стоимости 3 063,55 руб./кв. м. Статус в этой карточке обозначен как «ранее учтенный» [19]. На карте участок показан замкнутым контуром среди иных участков ЕГРН и выделен при запросе пересечений вместе с участками 50:28:0090134:4, 50:28:0090134:10 и 50:28:0090134:104.</w:t>
      </w:r>
    </w:p>
    <w:p>
      <w:pPr>
        <w:spacing w:line="360" w:lineRule="auto" w:before="0" w:after="0"/>
        <w:ind w:firstLine="709" w:left="0"/>
        <w:jc w:val="both"/>
      </w:pPr>
      <w:r>
        <w:rPr>
          <w:rFonts w:ascii="Times New Roman" w:hAnsi="Times New Roman" w:cs="Times New Roman" w:eastAsia="Times New Roman"/>
          <w:b w:val="0"/>
          <w:i w:val="0"/>
          <w:color w:val="000000"/>
          <w:sz w:val="28"/>
        </w:rPr>
        <w:t>Межевой план подготовлен 09.09.2015 в результате кадастровых работ по уточнению местоположения границы участка 50:28:0000000:51403. Адрес в плане: Московская область, Домодедовский район, садоводческое товарищество «Ветеран-5», уч. № 7. Заказчик работ — Морсаков Михаил Николаевич. Кадастровый инженер — Мурагина Елизавета Васильевна, номер квалификационного аттестата 50-10-140, исполнитель — ООО «ЦГиКУ». План составлен по требованиям закона о государственном кадастре недвижимости и приказа № 412 [10; 20]. В исходных материалах работы этот план приведен как документ по участку; он же размещен Центром геодезических и кадастровых услуг в качестве образца. Кадастровый номер, адрес товарищества и площадь в плане совпадают с действующей карточкой, поэтому план принят как источник геометрических сведений именно этого участка. Контактные данные инженера в текст не переносятся: для проверки пригодности реестра они не требуются.</w:t>
      </w:r>
    </w:p>
    <w:p>
      <w:pPr>
        <w:spacing w:line="360" w:lineRule="auto" w:before="0" w:after="0"/>
        <w:ind w:firstLine="709" w:left="0"/>
        <w:jc w:val="both"/>
      </w:pPr>
      <w:r>
        <w:rPr>
          <w:rFonts w:ascii="Times New Roman" w:hAnsi="Times New Roman" w:cs="Times New Roman" w:eastAsia="Times New Roman"/>
          <w:b w:val="0"/>
          <w:i w:val="0"/>
          <w:color w:val="000000"/>
          <w:sz w:val="28"/>
        </w:rPr>
        <w:t>Расхождение трех источников собрано в таблице 2. Совпадающие показатели можно использовать без оговорок. Расходящиеся показатели нельзя молча сводить к одной цифре.</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2 – Сопоставление сведений трех источников по участку 50:28:0000000:51403</w:t>
      </w:r>
    </w:p>
    <w:tbl>
      <w:tblPr>
        <w:tblW w:type="dxa" w:w="9639"/>
        <w:jc w:val="center"/>
        <w:tblLayout w:type="fixed"/>
        <w:tblLook w:firstColumn="1" w:firstRow="1" w:lastColumn="0" w:lastRow="0" w:noHBand="0" w:noVBand="1" w:val="04A0"/>
      </w:tblPr>
      <w:tblGrid>
        <w:gridCol w:w="1927"/>
        <w:gridCol w:w="2608"/>
        <w:gridCol w:w="2494"/>
        <w:gridCol w:w="2608"/>
      </w:tblGrid>
      <w:tr>
        <w:trPr>
          <w:cantSplit/>
          <w:tblHeader/>
        </w:trPr>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Показатель</w:t>
            </w:r>
          </w:p>
        </w:tc>
        <w:tc>
          <w:tcPr>
            <w:tcW w:type="dxa" w:w="260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Росреестр, карточка</w:t>
            </w:r>
          </w:p>
        </w:tc>
        <w:tc>
          <w:tcPr>
            <w:tcW w:type="dxa" w:w="249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НСПД</w:t>
            </w:r>
          </w:p>
        </w:tc>
        <w:tc>
          <w:tcPr>
            <w:tcW w:type="dxa" w:w="260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Межевой план 09.09.2015</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Кадастровый номер</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50:28:0000000:51403</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50:28:0000000:51403</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50:28:0000000:51403</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Дата номера</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24.04.2015</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24.04.2015</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работы 2015 года</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Статус</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Актуально (статус записи)</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Ранее учтенный</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Уточняемый участок</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Квартал</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номере 0000000</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 чертеже 50:28:0090134</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Адрес</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 о. Домодедово, СНТ «Ветеран-5», з/у 7</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то же</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Домодедовский район, СНТ «Ветеран-5», уч. 7</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 кв. м</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1 005</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1 005, уточненная</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1 005 ± 22</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Категория / ВРИ</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Сельскохозяйственные / для садоводства</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то же</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садовый участок в составе СНТ</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Кадастровая стоимость</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 руб.</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 руб.; УПКС 3 063,55</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плане 2015 года отсутствует</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Право</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Собственность от 22.03.2016, номер указан, ФИО нет</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Форма — частная, ФИО нет</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Заказчик работ назван; это не запись о праве</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Координаты</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открытой карточке не приведены</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Контур на карте есть, каталога в выгрузке нет</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Каталог н1–н5, МСК-50</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Здания</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карточке не указаны</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Вкладка «Объекты» в материалах не приведена</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 дату плана зданий нет</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Смежные участки</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карточке не раскрыты</w:t>
            </w:r>
          </w:p>
        </w:tc>
        <w:tc>
          <w:tcPr>
            <w:tcW w:type="dxa" w:w="249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Пересечения: :4, :10, :104</w:t>
            </w:r>
          </w:p>
        </w:tc>
        <w:tc>
          <w:tcPr>
            <w:tcW w:type="dxa" w:w="260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н1–н3 и н4–н5 — :4; н3–н4 — :104; н5–н1 — :10</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Площадь во всех трех источниках равна 1 005 кв. м. Это главный положительный результат сопоставления: величина, которая попала в ЕГРН, совпадает и с действующей карточкой, и с межевым планом, и с удельной проверкой кадастровой стоимости. Деление 3 078 864,73 / 1 005 дает 3 063,547 руб./кв. м, что при округлении до копейки совпадает с удельным показателем НСПД 3 063,55 руб./кв. м. Расхождение произведения 3 063,55 × 1 005 с записанной стоимостью составляет около 3 руб. и объясняется округлением удельного показателя, а не иной площадью.</w:t>
      </w:r>
    </w:p>
    <w:p>
      <w:pPr>
        <w:spacing w:line="360" w:lineRule="auto" w:before="0" w:after="0"/>
        <w:ind w:firstLine="709" w:left="0"/>
        <w:jc w:val="both"/>
      </w:pPr>
      <w:r>
        <w:rPr>
          <w:rFonts w:ascii="Times New Roman" w:hAnsi="Times New Roman" w:cs="Times New Roman" w:eastAsia="Times New Roman"/>
          <w:b w:val="0"/>
          <w:i w:val="0"/>
          <w:color w:val="000000"/>
          <w:sz w:val="28"/>
        </w:rPr>
        <w:t>Кадастровый номер 50:28:0000000:51403 читается так: 50 — Московская область, 28 — кадастровый район, 0000000 — квартал в номере не задан, 51403 — номер участка в пределах района. Нулевой квартал характерен для ранее учтенных объектов. Карта при этом относит участок к кварталу 50:28:0090134, и смежные участки имеют номера уже внутри этого квартала. Покупатель, который ищет объект «по кварталу из номера», участок не найдет. Надежный поисковый признак — полный кадастровый номер, а квартал устанавливается по НСПД.</w:t>
      </w:r>
    </w:p>
    <w:p>
      <w:pPr>
        <w:spacing w:line="360" w:lineRule="auto" w:before="0" w:after="0"/>
        <w:ind w:firstLine="709" w:left="0"/>
        <w:jc w:val="both"/>
      </w:pPr>
      <w:r>
        <w:rPr>
          <w:rFonts w:ascii="Times New Roman" w:hAnsi="Times New Roman" w:cs="Times New Roman" w:eastAsia="Times New Roman"/>
          <w:b w:val="0"/>
          <w:i w:val="0"/>
          <w:color w:val="000000"/>
          <w:sz w:val="28"/>
        </w:rPr>
        <w:t>Адрес изменился вместе с муниципальным устройством: в плане 2015 года указан Домодедовский район, в карточке 2026 года — городской округ Домодедово. Номер участка внутри товарищества сохранен (участок 7). В акте согласования смежный правообладатель СНТ описан с привязкой к деревне Соломахово. Деревня в адрес самой карточки не вынесена. Для договора опасна не эта разница сама по себе, а попытка идентифицировать объект только словами «участок в Соломахово». Таких участков много. Идентификатором должен оставаться кадастровый номер.</w:t>
      </w:r>
    </w:p>
    <w:p>
      <w:pPr>
        <w:spacing w:line="360" w:lineRule="auto" w:before="0" w:after="0"/>
        <w:ind w:firstLine="709" w:left="0"/>
        <w:jc w:val="both"/>
      </w:pPr>
      <w:r>
        <w:rPr>
          <w:rFonts w:ascii="Times New Roman" w:hAnsi="Times New Roman" w:cs="Times New Roman" w:eastAsia="Times New Roman"/>
          <w:b w:val="0"/>
          <w:i w:val="0"/>
          <w:color w:val="000000"/>
          <w:sz w:val="28"/>
        </w:rPr>
        <w:t>Статусы «актуально» и «ранее учтенный» отвечают на разные вопросы. В карточке Росреестра «актуально» означает, что запись не погашена. В НСПД «ранее учтенный» описывает происхождение объекта: он существовал до современной кадастровой записи. После уточнения границы 2015 года и при показанном на карте контуре логично ожидать признак установленной границы. По одной подписи на экране покупатель этого не поймет. Выписка с координатами в исходных материалах отсутствует, поэтому контур признан отображенным на карте, а как запись ЕГРН подтверждены площадь и факт учета.</w:t>
      </w:r>
    </w:p>
    <w:p>
      <w:pPr>
        <w:spacing w:line="360" w:lineRule="auto" w:before="0" w:after="0"/>
        <w:ind w:firstLine="709" w:left="0"/>
        <w:jc w:val="both"/>
      </w:pPr>
      <w:r>
        <w:rPr>
          <w:rFonts w:ascii="Times New Roman" w:hAnsi="Times New Roman" w:cs="Times New Roman" w:eastAsia="Times New Roman"/>
          <w:b w:val="0"/>
          <w:i w:val="0"/>
          <w:color w:val="000000"/>
          <w:sz w:val="28"/>
        </w:rPr>
        <w:t>Запись о собственности от 22.03.2016 позднее межевого плана от 09.09.2015. Среди документов плана есть свидетельства о праве на землю от 27.12.1993, поэтому 2016 год — дата регистрационной записи, а не дата возникновения права. Фамилия заказчика кадастровых работ не подставляется вместо актуального правообладателя: открытая карточка ее не показывает. Для договора нужна выписка.</w:t>
      </w:r>
    </w:p>
    <w:p>
      <w:pPr>
        <w:spacing w:line="360" w:lineRule="auto" w:before="0" w:after="0"/>
        <w:ind w:firstLine="709" w:left="0"/>
        <w:jc w:val="both"/>
      </w:pPr>
      <w:r>
        <w:rPr>
          <w:rFonts w:ascii="Times New Roman" w:hAnsi="Times New Roman" w:cs="Times New Roman" w:eastAsia="Times New Roman"/>
          <w:b w:val="0"/>
          <w:i w:val="0"/>
          <w:color w:val="000000"/>
          <w:sz w:val="28"/>
        </w:rPr>
        <w:t>Обременения в видимой части карточки не перечислены: раздел называется «сведения о правах и ограничениях», но заполнена только запись о собственности. Это благоприятный признак и одновременно слабое доказательство. Справочный экран может быть неполным. Вывода «обременений нет» работа не делает. Вывод другой: открытых сведений недостаточно, чтобы такой вывод гарантировать.</w:t>
      </w:r>
    </w:p>
    <w:p>
      <w:pPr>
        <w:spacing w:line="360" w:lineRule="auto" w:before="0" w:after="0"/>
        <w:ind w:firstLine="709" w:left="0"/>
        <w:jc w:val="both"/>
      </w:pPr>
      <w:r>
        <w:rPr>
          <w:rFonts w:ascii="Times New Roman" w:hAnsi="Times New Roman" w:cs="Times New Roman" w:eastAsia="Times New Roman"/>
          <w:b w:val="0"/>
          <w:i w:val="0"/>
          <w:color w:val="000000"/>
          <w:sz w:val="28"/>
        </w:rPr>
        <w:t>Кадастровая стоимость определена по состоянию на 01.01.2022. Эта дата совпадает с туром государственной кадастровой оценки земель Московской области, результаты которого утверждены распоряжением Минимущества Московской области от 28.11.2022 № 15ВР-2452 и применяются с 01.01.2023 [12; 13]. Дата внесения 05.12.2025 фиксирует момент актуальной записи в просматриваемой карточке. Сама по себе она не означает, что 5 декабря 2025 года участок оценили заново. Для налога имеет значение стоимость, действующая на 1 января соответствующего года. Подмена даты определения датой внесения была бы ошибкой использования сведений ЕГРН.</w:t>
      </w:r>
    </w:p>
    <w:p>
      <w:pPr>
        <w:spacing w:line="360" w:lineRule="auto" w:before="240" w:after="240"/>
        <w:ind w:firstLine="0" w:left="0"/>
        <w:jc w:val="center"/>
      </w:pPr>
      <w:r>
        <w:rPr>
          <w:rFonts w:ascii="Times New Roman" w:hAnsi="Times New Roman" w:cs="Times New Roman" w:eastAsia="Times New Roman"/>
          <w:b/>
          <w:i w:val="0"/>
          <w:color w:val="000000"/>
          <w:sz w:val="28"/>
        </w:rPr>
        <w:t>2.2 Проверка геометрических сведений и разбивка участка</w:t>
      </w:r>
    </w:p>
    <w:p>
      <w:pPr>
        <w:spacing w:line="360" w:lineRule="auto" w:before="0" w:after="0"/>
        <w:ind w:firstLine="709" w:left="0"/>
        <w:jc w:val="both"/>
      </w:pPr>
      <w:r>
        <w:rPr>
          <w:rFonts w:ascii="Times New Roman" w:hAnsi="Times New Roman" w:cs="Times New Roman" w:eastAsia="Times New Roman"/>
          <w:b w:val="0"/>
          <w:i w:val="0"/>
          <w:color w:val="000000"/>
          <w:sz w:val="28"/>
        </w:rPr>
        <w:t>Геометрические сведения, которые реестр получает из межевого плана, проверены заново по каталогу координат. Система координат — МСК-50. Метод определения координат — спутниковые геодезические измерения. Исходный пункт — «Шахово», пирамида, 3 класс, X = 419 546,85 м, Y = 2 214 903,66 м. Средство измерений — комплект спутниковой геодезической аппаратуры Leica GS 15, свидетельство о поверке от 10.07.2015 № 075048, срок до 10.07.2016. На дату плана поверка была действующей. Зданий, сооружений и объектов незавершенного строительства на участке план не указывает [20].</w:t>
      </w:r>
    </w:p>
    <w:p>
      <w:pPr>
        <w:spacing w:line="360" w:lineRule="auto" w:before="0" w:after="0"/>
        <w:ind w:firstLine="709" w:left="0"/>
        <w:jc w:val="both"/>
      </w:pPr>
      <w:r>
        <w:rPr>
          <w:rFonts w:ascii="Times New Roman" w:hAnsi="Times New Roman" w:cs="Times New Roman" w:eastAsia="Times New Roman"/>
          <w:b w:val="0"/>
          <w:i w:val="0"/>
          <w:color w:val="000000"/>
          <w:sz w:val="28"/>
        </w:rPr>
        <w:t>Каталог уточненных координат и контрольные расстояния приведены в таблице 3. Существующих координат до уточнения план не содержит: в соответствующих графах стоят прочерки. Закрепление всех точек описано одинаково — «закрепление отсутствует», погрешность каждой точки в плане принята 0,20 м.</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3 – Каталог характерных точек границы участка 50:28:0000000:51403</w:t>
      </w:r>
    </w:p>
    <w:tbl>
      <w:tblPr>
        <w:tblW w:type="dxa" w:w="9639"/>
        <w:jc w:val="center"/>
        <w:tblLayout w:type="fixed"/>
        <w:tblLook w:firstColumn="1" w:firstRow="1" w:lastColumn="0" w:lastRow="0" w:noHBand="0" w:noVBand="1" w:val="04A0"/>
      </w:tblPr>
      <w:tblGrid>
        <w:gridCol w:w="1247"/>
        <w:gridCol w:w="1814"/>
        <w:gridCol w:w="1927"/>
        <w:gridCol w:w="1134"/>
        <w:gridCol w:w="1814"/>
        <w:gridCol w:w="1701"/>
      </w:tblGrid>
      <w:tr>
        <w:trPr>
          <w:cantSplit/>
          <w:tblHeader/>
        </w:trPr>
        <w:tc>
          <w:tcPr>
            <w:tcW w:type="dxa" w:w="124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Точка</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X, м</w:t>
            </w:r>
          </w:p>
        </w:tc>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Y, м</w:t>
            </w:r>
          </w:p>
        </w:tc>
        <w:tc>
          <w:tcPr>
            <w:tcW w:type="dxa" w:w="113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Mt, м</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Закрепление</w:t>
            </w:r>
          </w:p>
        </w:tc>
        <w:tc>
          <w:tcPr>
            <w:tcW w:type="dxa" w:w="1701"/>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S до след., м</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420840,25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2217780,05</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отсутствует</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21,57</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н2</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420842,04</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2217801,55</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отсутствует</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5,75</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н3</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420842,35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2217807,29</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отсутствует</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37,65</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н4</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420804,79</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2217809,86</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отсутствует</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27,09</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420804,20</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2217782,78</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отсутствует</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36,15</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Горизонтальные проложения, записанные в плане, равны 21,57 м (н1–н2), 5,75 м (н2–н3), 37,65 м (н3–н4), 27,09 м (н4–н5) и 36,15 м (н5–н1). Независимый расчет по координатам дает 21,574 м, 5,748 м, 37,648 м, 27,086 м и 36,153 м. После округления до 0,01 м все пять длин совпадают с планом. Периметр составляет 128,21 м. Расхождение отсутствует, следовательно, каталог и ведомость длин описывают один и тот же контур, а не два разных источника, случайно подшитых в один файл.</w:t>
      </w:r>
    </w:p>
    <w:p>
      <w:pPr>
        <w:spacing w:line="360" w:lineRule="auto" w:before="0" w:after="0"/>
        <w:ind w:firstLine="709" w:left="0"/>
        <w:jc w:val="both"/>
      </w:pPr>
      <w:r>
        <w:rPr>
          <w:rFonts w:ascii="Times New Roman" w:hAnsi="Times New Roman" w:cs="Times New Roman" w:eastAsia="Times New Roman"/>
          <w:b w:val="0"/>
          <w:i w:val="0"/>
          <w:color w:val="000000"/>
          <w:sz w:val="28"/>
        </w:rPr>
        <w:t>Дирекционные углы сторон и внутренние углы полигона нужны для разбивки: по ним контур выносится на местность и проверяется построением. Дирекционный угол отсчитывается от северного направления оси X по ходу часовой стрелки. Внутренний угол получен как угол между смежными сторонами внутри контура. Для пятиугольника сумма внутренних углов должна составлять 540°. Результаты сведены в таблицу 4.</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4 – Ведомость сторон границы для разбивки участка</w:t>
      </w:r>
    </w:p>
    <w:tbl>
      <w:tblPr>
        <w:tblW w:type="dxa" w:w="9639"/>
        <w:jc w:val="center"/>
        <w:tblLayout w:type="fixed"/>
        <w:tblLook w:firstColumn="1" w:firstRow="1" w:lastColumn="0" w:lastRow="0" w:noHBand="0" w:noVBand="1" w:val="04A0"/>
      </w:tblPr>
      <w:tblGrid>
        <w:gridCol w:w="1247"/>
        <w:gridCol w:w="1134"/>
        <w:gridCol w:w="1927"/>
        <w:gridCol w:w="1814"/>
        <w:gridCol w:w="3515"/>
      </w:tblGrid>
      <w:tr>
        <w:trPr>
          <w:cantSplit/>
          <w:tblHeader/>
        </w:trPr>
        <w:tc>
          <w:tcPr>
            <w:tcW w:type="dxa" w:w="124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Сторона</w:t>
            </w:r>
          </w:p>
        </w:tc>
        <w:tc>
          <w:tcPr>
            <w:tcW w:type="dxa" w:w="113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S, м</w:t>
            </w:r>
          </w:p>
        </w:tc>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Дирекц. угол</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Внутр. угол</w:t>
            </w:r>
          </w:p>
        </w:tc>
        <w:tc>
          <w:tcPr>
            <w:tcW w:type="dxa" w:w="3515"/>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Смежный землепользователь</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н1–н2</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21,57</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85°14'26,8"</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90°25'42,9"</w:t>
            </w:r>
          </w:p>
        </w:tc>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50:28:0090134:4, СНТ «Ветеран-5»</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н2–н3</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5,75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86°54'31,1"</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178°19'55,7"</w:t>
            </w:r>
          </w:p>
        </w:tc>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50:28:0090134:4, СНТ «Ветеран-5»</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н3–н4</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37,65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176°05'08,5"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90°49'22,5"</w:t>
            </w:r>
          </w:p>
        </w:tc>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50:28:0090134:104</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н4–н5</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27,09</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268°45'06,8"</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87°20'01,8"</w:t>
            </w:r>
          </w:p>
        </w:tc>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50:28:0090134:4, СНТ «Ветеран-5»</w:t>
            </w:r>
          </w:p>
        </w:tc>
      </w:tr>
      <w:tr>
        <w:trPr>
          <w:cantSplit/>
        </w:trPr>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н5–н1</w:t>
            </w:r>
          </w:p>
        </w:tc>
        <w:tc>
          <w:tcPr>
            <w:tcW w:type="dxa" w:w="113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36,15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355°40'09,7"</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93°04'57,1"</w:t>
            </w:r>
          </w:p>
        </w:tc>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50:28:0090134:10, правообладатель не установлен</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Сумма пяти внутренних углов равна 540,00°, что совпадает с теоретическими 540° в пределах округления секунд. Контур замкнут и не содержит геометрического брака. Угол при точке н2 близок к 178°: точка лежит на северной стороне почти в створе н1–н3 и не является углом поворота между разными собственниками. По акту согласования вся линия н1–н3 относится к одному смежному участку 50:28:0090134:4. Точка н2 — излом границы примерно на 1°40′, а не отдельное смежество. Практически участок представляет собой четырехугольник около 37,6 м на 27,1 м с небольшим изломом северной стороны. Для разбивки на местности выносить нужно все пять точек: пропуск н2 сместит северную границу.</w:t>
      </w:r>
    </w:p>
    <w:p>
      <w:pPr>
        <w:spacing w:line="360" w:lineRule="auto" w:before="0" w:after="0"/>
        <w:ind w:firstLine="709" w:left="0"/>
        <w:jc w:val="both"/>
      </w:pPr>
      <w:r>
        <w:rPr>
          <w:rFonts w:ascii="Times New Roman" w:hAnsi="Times New Roman" w:cs="Times New Roman" w:eastAsia="Times New Roman"/>
          <w:b w:val="0"/>
          <w:i w:val="0"/>
          <w:color w:val="000000"/>
          <w:sz w:val="28"/>
        </w:rPr>
        <w:t>Площадь по формуле (2) составила 1 004,99 кв. м. От записанных в ЕГРН и в плане 1 005 кв. м результат отличается на 0,01 кв. м. Отличие возникает из-за округления координат до 0,01 м и при округлении площади до целого квадратного метра исчезает. План указывает площадь 1 005 кв. м и расхождение с площадью по документу, равное нулю. Независимый расчет это подтверждает.</w:t>
      </w:r>
    </w:p>
    <w:p>
      <w:pPr>
        <w:spacing w:line="360" w:lineRule="auto" w:before="0" w:after="0"/>
        <w:ind w:firstLine="709" w:left="0"/>
        <w:jc w:val="both"/>
      </w:pPr>
      <w:r>
        <w:rPr>
          <w:rFonts w:ascii="Times New Roman" w:hAnsi="Times New Roman" w:cs="Times New Roman" w:eastAsia="Times New Roman"/>
          <w:b w:val="0"/>
          <w:i w:val="0"/>
          <w:color w:val="000000"/>
          <w:sz w:val="28"/>
        </w:rPr>
        <w:t>Погрешность площади по формуле (3) при Mt = 0,20 м, как записано в плане, равна 22,19 кв. м и в плане принята равной 22 кв. м. При арифметически точном Mt = 0,209 м погрешность составляет 23,17 кв. м, то есть 23 кв. м после округления. Расхождение формульной записи плана (0,20 м вместо 0,21 м) существует, но оно не выводит площадь за допуск и не создает второго значения площади. В дальнейших расчетах использована площадь реестра 1 005 кв. м и допуск плана ±22 кв. м. Допуск составляет 2,2 процента площади.</w:t>
      </w:r>
    </w:p>
    <w:p>
      <w:pPr>
        <w:spacing w:line="360" w:lineRule="auto" w:before="0" w:after="0"/>
        <w:ind w:firstLine="709" w:left="0"/>
        <w:jc w:val="both"/>
      </w:pPr>
      <w:r>
        <w:rPr>
          <w:rFonts w:ascii="Times New Roman" w:hAnsi="Times New Roman" w:cs="Times New Roman" w:eastAsia="Times New Roman"/>
          <w:b w:val="0"/>
          <w:i w:val="0"/>
          <w:color w:val="000000"/>
          <w:sz w:val="28"/>
        </w:rPr>
        <w:t>В деньгах тот же допуск выглядит так. При рыночном удельном показателе, полученном в параграфе 2.3, 22 кв. м соответствуют примерно 27,5 тыс. руб. При кадастровом удельном показателе 3 063,55 руб./кв. м те же 22 кв. м соответствуют примерно 67,4 тыс. руб. Оба значения намного меньше разрыва между кадастровой и рыночной стоимостью всего участка. Следовательно, для решения о цене неточность границы не является главным риском. Главный риск — подмена рыночной стоимости кадастровой. Для спора о заборе допуск 0,20 м по точке, напротив, существенен: именно поэтому разбивка должна идти по каталогу, а не «на глаз по карте».</w:t>
      </w:r>
    </w:p>
    <w:p>
      <w:pPr>
        <w:spacing w:line="360" w:lineRule="auto" w:before="0" w:after="0"/>
        <w:ind w:firstLine="709" w:left="0"/>
        <w:jc w:val="both"/>
      </w:pPr>
      <w:r>
        <w:rPr>
          <w:rFonts w:ascii="Times New Roman" w:hAnsi="Times New Roman" w:cs="Times New Roman" w:eastAsia="Times New Roman"/>
          <w:b w:val="0"/>
          <w:i w:val="0"/>
          <w:color w:val="000000"/>
          <w:sz w:val="28"/>
        </w:rPr>
        <w:t>Контроль геодезической опоры также сошелся со схемой плана. Расстояние от пункта «Шахово» до точки н2 равно 3 174 м, или 3,17 км. На схеме геодезических построений подписано 3,17 км. Подпись относится к характерной точке контура, а не к произвольной величине. Пункт 3 класса использован как исходный, что для спутниковых измерений 2015 года соответствует требованиям к опоре.</w:t>
      </w:r>
    </w:p>
    <w:p>
      <w:pPr>
        <w:spacing w:line="360" w:lineRule="auto" w:before="0" w:after="0"/>
        <w:ind w:firstLine="709" w:left="0"/>
        <w:jc w:val="both"/>
      </w:pPr>
      <w:r>
        <w:rPr>
          <w:rFonts w:ascii="Times New Roman" w:hAnsi="Times New Roman" w:cs="Times New Roman" w:eastAsia="Times New Roman"/>
          <w:b w:val="0"/>
          <w:i w:val="0"/>
          <w:color w:val="000000"/>
          <w:sz w:val="28"/>
        </w:rPr>
        <w:t>Смежества плана и пересечения НСПД описывают один набор участков. Линии н1–н3 и н4–н5 граничат с 50:28:0090134:4, правообладатель — СНТ «Ветеран-5» на праве коллективной совместной собственности, от имени товарищества в акте указан председатель Малышкин Игорь Васильевич. Линия н3–н4 граничит с 50:28:0090134:104, в плане назван Евдокимов Алексей Алексеевич. Линия н5–н1 граничит с 50:28:0090134:10: вид права, правообладатель и адрес для связи в плане отсутствуют, в акте сделана запись «граница ранее согласована». Возражений по акту нет, спор не зафиксирован [20]. Для рынка согласованный акт повышает пригодность границы. Неустановленный правообладатель на западной стороне остается единственным содержательным дефектом согласования.</w:t>
      </w:r>
    </w:p>
    <w:p>
      <w:pPr>
        <w:spacing w:line="360" w:lineRule="auto" w:before="0" w:after="0"/>
        <w:ind w:firstLine="709" w:left="0"/>
        <w:jc w:val="both"/>
      </w:pPr>
      <w:r>
        <w:rPr>
          <w:rFonts w:ascii="Times New Roman" w:hAnsi="Times New Roman" w:cs="Times New Roman" w:eastAsia="Times New Roman"/>
          <w:b w:val="0"/>
          <w:i w:val="0"/>
          <w:color w:val="000000"/>
          <w:sz w:val="28"/>
        </w:rPr>
        <w:t>По координатам построен чертеж участка (рисунок 2). Он заменяет схематичный лист плана масштаба 1:1 000, на котором контур занимал малую часть листа, и служит разбивочным чертежом: на нем подписаны номера точек, длины сторон, кадастровый номер и смежные участки. Линейный масштаб позволяет снять длину независимо от того, как страница масштабирована при печати. Каталог для выноса точек на местность приведен в приложении Б, увеличенный чертеж — в приложении В.</w:t>
      </w:r>
    </w:p>
    <w:p>
      <w:pPr>
        <w:keepNext/>
        <w:keepLines/>
        <w:spacing w:line="360" w:lineRule="auto" w:before="120" w:after="40"/>
        <w:ind w:firstLine="0" w:left="0"/>
        <w:jc w:val="center"/>
      </w:pPr>
      <w:r>
        <w:drawing>
          <wp:inline xmlns:a="http://schemas.openxmlformats.org/drawingml/2006/main" xmlns:pic="http://schemas.openxmlformats.org/drawingml/2006/picture">
            <wp:extent cx="5328000" cy="6374571"/>
            <wp:docPr id="2" name="Picture 2"/>
            <wp:cNvGraphicFramePr>
              <a:graphicFrameLocks noChangeAspect="1"/>
            </wp:cNvGraphicFramePr>
            <a:graphic>
              <a:graphicData uri="http://schemas.openxmlformats.org/drawingml/2006/picture">
                <pic:pic>
                  <pic:nvPicPr>
                    <pic:cNvPr id="0" name="chertezh.png"/>
                    <pic:cNvPicPr/>
                  </pic:nvPicPr>
                  <pic:blipFill>
                    <a:blip r:embed="rId11"/>
                    <a:stretch>
                      <a:fillRect/>
                    </a:stretch>
                  </pic:blipFill>
                  <pic:spPr>
                    <a:xfrm>
                      <a:off x="0" y="0"/>
                      <a:ext cx="5328000" cy="6374571"/>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2 – Чертеж и разбивка земельного участка 50:28:0000000:51403 по координатам межевого плана</w:t>
      </w:r>
    </w:p>
    <w:p>
      <w:pPr>
        <w:spacing w:line="360" w:lineRule="auto" w:before="0" w:after="0"/>
        <w:ind w:firstLine="709" w:left="0"/>
        <w:jc w:val="both"/>
      </w:pPr>
      <w:r>
        <w:rPr>
          <w:rFonts w:ascii="Times New Roman" w:hAnsi="Times New Roman" w:cs="Times New Roman" w:eastAsia="Times New Roman"/>
          <w:b w:val="0"/>
          <w:i w:val="0"/>
          <w:color w:val="000000"/>
          <w:sz w:val="28"/>
        </w:rPr>
        <w:t>Проверка позволяет сделать промежуточный вывод. Сведения о площади, длинах и контуре внутренне согласованы и совпадают с тем, что ЕГРН и НСПД показывают как 1 005 кв. м и как замкнутый участок среди смежников :4, :10 и :104. Эти сведения пригодны для идентификации объекта, для указания площади в договоре и для разбивки границы. Они не заменяют выписку с координатами из самого реестра: публичная карточка каталог не показывает, и прямое равенство «каждая цифра плана = каждая цифра действующей записи ЕГРН» по координатам в рамках имеющихся материалов не подтверждается и не опровергается. Подтверждается равенство площади и согласованность смежеств.</w:t>
      </w:r>
    </w:p>
    <w:p>
      <w:pPr>
        <w:spacing w:line="360" w:lineRule="auto" w:before="240" w:after="240"/>
        <w:ind w:firstLine="0" w:left="0"/>
        <w:jc w:val="center"/>
      </w:pPr>
      <w:r>
        <w:rPr>
          <w:rFonts w:ascii="Times New Roman" w:hAnsi="Times New Roman" w:cs="Times New Roman" w:eastAsia="Times New Roman"/>
          <w:b/>
          <w:i w:val="0"/>
          <w:color w:val="000000"/>
          <w:sz w:val="28"/>
        </w:rPr>
        <w:t>2.3 Определение рыночной стоимости и достаточность сведений для сделки</w:t>
      </w:r>
    </w:p>
    <w:p>
      <w:pPr>
        <w:spacing w:line="360" w:lineRule="auto" w:before="0" w:after="0"/>
        <w:ind w:firstLine="709" w:left="0"/>
        <w:jc w:val="both"/>
      </w:pPr>
      <w:r>
        <w:rPr>
          <w:rFonts w:ascii="Times New Roman" w:hAnsi="Times New Roman" w:cs="Times New Roman" w:eastAsia="Times New Roman"/>
          <w:b w:val="0"/>
          <w:i w:val="0"/>
          <w:color w:val="000000"/>
          <w:sz w:val="28"/>
        </w:rPr>
        <w:t>Определение стоимости выполнено в учебных целях по структуре отчета об оценке. Вид стоимости — рыночная. Дата оценки — 18.10.2026. Объект — земельный участок 50:28:0000000:51403 площадью 1 005 кв. м (10,05 сотки), категория земель сельскохозяйственного назначения, вид разрешенного использования — для садоводства, форма собственности частная, право зарегистрировано. Предполагаемое использование совпадает с разрешенным. Улучшения в расчет не включались: межевой план зданий не содержит, публичная карточка объектов капитального строительства не называет, вкладка «Объекты» НСПД в исходных материалах отсутствует. Коммуникации сведениями ЕГРН не описываются и в расчете приняты как неподтвержденные. Результат не заменяет отчет оценщика, состоящего в саморегулируемой организации, и сам по себе не является основанием для пересмотра кадастровой стоимости по Федеральному закону № 237-ФЗ [6; 7].</w:t>
      </w:r>
    </w:p>
    <w:p>
      <w:pPr>
        <w:spacing w:line="360" w:lineRule="auto" w:before="0" w:after="0"/>
        <w:ind w:firstLine="709" w:left="0"/>
        <w:jc w:val="both"/>
      </w:pPr>
      <w:r>
        <w:rPr>
          <w:rFonts w:ascii="Times New Roman" w:hAnsi="Times New Roman" w:cs="Times New Roman" w:eastAsia="Times New Roman"/>
          <w:b w:val="0"/>
          <w:i w:val="0"/>
          <w:color w:val="000000"/>
          <w:sz w:val="28"/>
        </w:rPr>
        <w:t>Затратный подход не применялся: объект — свободный земельный участок, создавать замещающий объект «земля» невозможно. Доходный подход не применялся: по участку нет сведений об арендной плате, а использовать кадастровую стоимость как источник дохода означало бы подменить рынок налоговым показателем. Применен сравнительный подход. Элементы сравнения: передаваемые права, условия финансирования, условия продажи (торг), дата предложения, местоположение, площадь, коммуникации и юридическая готовность границы.</w:t>
      </w:r>
    </w:p>
    <w:p>
      <w:pPr>
        <w:spacing w:line="360" w:lineRule="auto" w:before="0" w:after="0"/>
        <w:ind w:firstLine="709" w:left="0"/>
        <w:jc w:val="both"/>
      </w:pPr>
      <w:r>
        <w:rPr>
          <w:rFonts w:ascii="Times New Roman" w:hAnsi="Times New Roman" w:cs="Times New Roman" w:eastAsia="Times New Roman"/>
          <w:b w:val="0"/>
          <w:i w:val="0"/>
          <w:color w:val="000000"/>
          <w:sz w:val="28"/>
        </w:rPr>
        <w:t>Локальный рынок определен по местоположению объекта. Товарищество «Ветеран-5» относится к городскому округу Домодедово, а смежные описания плана указывают на деревню Соломахово. Средняя цена сотки по всему округу Домодедово, где в одной выборке смешаны участки индивидуальной жилой застройки и коттеджные поселки, для садового участка южной части округа нерепрезентативна: такие сводки превышают 400 тыс. руб. за сотку и описывают другой сегмент. Аналоги отобраны в СНТ «Лайнер-Соломыково» того же городского округа, в непосредственной близости от деревни Соломыково. Предложения просмотрены 18.10.2026 в открытой базе N1 [21].</w:t>
      </w:r>
    </w:p>
    <w:p>
      <w:pPr>
        <w:spacing w:line="360" w:lineRule="auto" w:before="0" w:after="0"/>
        <w:ind w:firstLine="709" w:left="0"/>
        <w:jc w:val="both"/>
      </w:pPr>
      <w:r>
        <w:rPr>
          <w:rFonts w:ascii="Times New Roman" w:hAnsi="Times New Roman" w:cs="Times New Roman" w:eastAsia="Times New Roman"/>
          <w:b w:val="0"/>
          <w:i w:val="0"/>
          <w:color w:val="000000"/>
          <w:sz w:val="28"/>
        </w:rPr>
        <w:t>Аналог 1: участок 10 соток, цена предложения 1 550 000 руб. (155 000 руб. за сотку), электричество 15 кВт, колодец, возможность регистрации по описанию объявления. Аналог 2: участок 16 соток, цена 2 180 000 руб. (136 250 руб. за сотку), газ и электричество по границе. Аналог 3: участок 16 соток, цена 1 650 000 руб. (103 125 руб. за сотку), коммуникации в тексте объявления не раскрыты. Предложение 12 соток за 1 700 000 руб. в том же массиве исключено, потому что в цену входит дом. Предложение 10 соток в СНТ «Ветеран» у деревни Калачево за 3 500 000 руб. исключено как другой населенный пункт: расстояние до МКАД около 32 км, в описании указаны газ по границе и лесной массив. Совпадение слова «Ветеран» в названии товарищества не делает объекты аналогами.</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5 – Аналоги для сравнительного подхода, цены предложения на 18.10.2026</w:t>
      </w:r>
    </w:p>
    <w:tbl>
      <w:tblPr>
        <w:tblW w:type="dxa" w:w="9639"/>
        <w:jc w:val="center"/>
        <w:tblLayout w:type="fixed"/>
        <w:tblLook w:firstColumn="1" w:firstRow="1" w:lastColumn="0" w:lastRow="0" w:noHBand="0" w:noVBand="1" w:val="04A0"/>
      </w:tblPr>
      <w:tblGrid>
        <w:gridCol w:w="1927"/>
        <w:gridCol w:w="1927"/>
        <w:gridCol w:w="1927"/>
        <w:gridCol w:w="1927"/>
        <w:gridCol w:w="1927"/>
      </w:tblGrid>
      <w:tr>
        <w:trPr>
          <w:cantSplit/>
          <w:tblHeader/>
        </w:trPr>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Показатель</w:t>
            </w:r>
          </w:p>
        </w:tc>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Объект оценки</w:t>
            </w:r>
          </w:p>
        </w:tc>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1</w:t>
            </w:r>
          </w:p>
        </w:tc>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2</w:t>
            </w:r>
          </w:p>
        </w:tc>
        <w:tc>
          <w:tcPr>
            <w:tcW w:type="dxa" w:w="192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3</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Место</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СНТ «Ветеран-5»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СНТ «Лайнер-Соломыково»</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СНТ «Лайнер-Соломыково»</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СНТ «Лайнер-Соломыково»</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 соток</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10,05</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16</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16</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Цена предложения, руб.</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определяется</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1 550 000</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2 180 000</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1 650 000</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Руб. за сотку</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определяется</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155 000</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136 250</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103 125</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Права</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собственность</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предложение о продаже права</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предложение о продаже права</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предложение о продаже права</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Коммуникации</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сведениями ЕГРН не подтверждены</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электричество 15 кВт, колодец</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газ и электричество по границе</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не указаны</w:t>
            </w:r>
          </w:p>
        </w:tc>
      </w:tr>
      <w:tr>
        <w:trPr>
          <w:cantSplit/>
        </w:trPr>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Граница</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уточнена планом, площадь в ЕГРН</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объявлении не раскрыта</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объявлении не раскрыта</w:t>
            </w:r>
          </w:p>
        </w:tc>
        <w:tc>
          <w:tcPr>
            <w:tcW w:type="dxa" w:w="192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 объявлении не раскрыта</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Корректировки заданы так, чтобы расчет можно было повторить. Скидка на торг — 7 процентов: в выборке цены предложения, а не цены сделок, обычный интервал торга по загородным участкам составляет 5–10 процентов. Поправка на коммуникации отрицательная, поскольку у объекта сети сведениями ЕГРН не подтверждены: минус 10 процентов к аналогу 1 и минус 12 процентов к аналогу 2. К аналогу 3 поправка на сети не вводилась. Удельная цена участка 16 соток обычно ниже цены участка около 10 соток, поэтому к аналогам 2 и 3 добавлено 8 процентов, к аналогу 1 — ноль. Плюс 3 процента — за юридическую готовность границы: у объекта есть площадь в ЕГРН и межевой план, у аналогов это из объявлений не следует.</w:t>
      </w:r>
    </w:p>
    <w:p>
      <w:pPr>
        <w:spacing w:line="360" w:lineRule="auto" w:before="0" w:after="0"/>
        <w:ind w:firstLine="709" w:left="0"/>
        <w:jc w:val="both"/>
      </w:pPr>
      <w:r>
        <w:rPr>
          <w:rFonts w:ascii="Times New Roman" w:hAnsi="Times New Roman" w:cs="Times New Roman" w:eastAsia="Times New Roman"/>
          <w:b w:val="0"/>
          <w:i w:val="0"/>
          <w:color w:val="000000"/>
          <w:sz w:val="28"/>
        </w:rPr>
        <w:t>Последовательность поправок и веса приведены в таблице 6. Наибольший вес 0,45 присвоен аналогу 1 как ближайшему по площади и наиболее полно описанному. Аналогу 2 присвоен вес 0,35. Аналогу 3 присвоен вес 0,20: цена заметно ниже двух других, а описание коммуникаций пустое, поэтому опираться на него как на единственный ориентир нельзя, но исключать его как наблюдаемую цену того же массива тоже нет оснований.</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6 – Корректировка удельных цен аналогов</w:t>
      </w:r>
    </w:p>
    <w:tbl>
      <w:tblPr>
        <w:tblW w:type="dxa" w:w="9639"/>
        <w:jc w:val="center"/>
        <w:tblLayout w:type="fixed"/>
        <w:tblLook w:firstColumn="1" w:firstRow="1" w:lastColumn="0" w:lastRow="0" w:noHBand="0" w:noVBand="1" w:val="04A0"/>
      </w:tblPr>
      <w:tblGrid>
        <w:gridCol w:w="3515"/>
        <w:gridCol w:w="2041"/>
        <w:gridCol w:w="2041"/>
        <w:gridCol w:w="2041"/>
      </w:tblGrid>
      <w:tr>
        <w:trPr>
          <w:cantSplit/>
          <w:tblHeader/>
        </w:trPr>
        <w:tc>
          <w:tcPr>
            <w:tcW w:type="dxa" w:w="3515"/>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Элемент сравнения</w:t>
            </w:r>
          </w:p>
        </w:tc>
        <w:tc>
          <w:tcPr>
            <w:tcW w:type="dxa" w:w="2041"/>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1</w:t>
            </w:r>
          </w:p>
        </w:tc>
        <w:tc>
          <w:tcPr>
            <w:tcW w:type="dxa" w:w="2041"/>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2</w:t>
            </w:r>
          </w:p>
        </w:tc>
        <w:tc>
          <w:tcPr>
            <w:tcW w:type="dxa" w:w="2041"/>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Аналог 3</w:t>
            </w:r>
          </w:p>
        </w:tc>
      </w:tr>
      <w:tr>
        <w:trPr>
          <w:cantSplit/>
        </w:trPr>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Цена предложения, руб./сотка</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155 000</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136 250</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103 125</w:t>
            </w:r>
          </w:p>
        </w:tc>
      </w:tr>
      <w:tr>
        <w:trPr>
          <w:cantSplit/>
        </w:trPr>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Торг −7 %, руб./сотка</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144 150</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126 713</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95 906</w:t>
            </w:r>
          </w:p>
        </w:tc>
      </w:tr>
      <w:tr>
        <w:trPr>
          <w:cantSplit/>
        </w:trPr>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Коммуникации</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−10 %</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−12 %</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0 %</w:t>
            </w:r>
          </w:p>
        </w:tc>
      </w:tr>
      <w:tr>
        <w:trPr>
          <w:cantSplit/>
        </w:trPr>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После поправки на сети</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129 735</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111 507</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95 906</w:t>
            </w:r>
          </w:p>
        </w:tc>
      </w:tr>
      <w:tr>
        <w:trPr>
          <w:cantSplit/>
        </w:trPr>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0 %</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+8 %</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+8 %</w:t>
            </w:r>
          </w:p>
        </w:tc>
      </w:tr>
      <w:tr>
        <w:trPr>
          <w:cantSplit/>
        </w:trPr>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После поправки на площадь</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129 735</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120 428</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103 579</w:t>
            </w:r>
          </w:p>
        </w:tc>
      </w:tr>
      <w:tr>
        <w:trPr>
          <w:cantSplit/>
        </w:trPr>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Готовность границы +3 %</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133 627</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124 040</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106 686</w:t>
            </w:r>
          </w:p>
        </w:tc>
      </w:tr>
      <w:tr>
        <w:trPr>
          <w:cantSplit/>
        </w:trPr>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Вес</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0,45</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0,35</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0,20</w:t>
            </w:r>
          </w:p>
        </w:tc>
      </w:tr>
      <w:tr>
        <w:trPr>
          <w:cantSplit/>
        </w:trPr>
        <w:tc>
          <w:tcPr>
            <w:tcW w:type="dxa" w:w="3515"/>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Вклад в итог, руб./сотка</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60 132</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43 414</w:t>
            </w:r>
          </w:p>
        </w:tc>
        <w:tc>
          <w:tcPr>
            <w:tcW w:type="dxa" w:w="204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21 337</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Вклады в таблице 6 округлены до рубля, их видимая сумма равна 124 883 руб. за сотку. Без промежуточного округления удельный показатель составляет 124 883,53 руб. за сотку, или 124 884 руб. после округления, что равно 1 248,76 руб. за 1 кв. м. Произведение 124 883,53 × 10,05 = 1 255 079 руб. С учетом точности объявлений итог округлен до тысяч и принят равным 1 255 000 руб. на 18.10.2026. Диапазон цен предложения без поправок, перенесенный на 10,05 сотки, составляет примерно от 1 036 000 до 1 558 000 руб. Итог лежит внутри этого диапазона.</w:t>
      </w:r>
    </w:p>
    <w:p>
      <w:pPr>
        <w:spacing w:line="360" w:lineRule="auto" w:before="0" w:after="0"/>
        <w:ind w:firstLine="709" w:left="0"/>
        <w:jc w:val="both"/>
      </w:pPr>
      <w:r>
        <w:rPr>
          <w:rFonts w:ascii="Times New Roman" w:hAnsi="Times New Roman" w:cs="Times New Roman" w:eastAsia="Times New Roman"/>
          <w:b w:val="0"/>
          <w:i w:val="0"/>
          <w:color w:val="000000"/>
          <w:sz w:val="28"/>
        </w:rPr>
        <w:t>Кадастровая стоимость того же участка — 3 078 864,73 руб., удельный показатель — 3 063,55 руб./кв. м. Рыночная стоимость ниже кадастровой в 3 078 864,73 / 1 255 000 = 2,45 раза. Сопоставление удельных показателей показано на рисунке 3.</w:t>
      </w:r>
    </w:p>
    <w:p>
      <w:pPr>
        <w:keepNext/>
        <w:keepLines/>
        <w:spacing w:line="360" w:lineRule="auto" w:before="120" w:after="40"/>
        <w:ind w:firstLine="0" w:left="0"/>
        <w:jc w:val="center"/>
      </w:pPr>
      <w:r>
        <w:drawing>
          <wp:inline xmlns:a="http://schemas.openxmlformats.org/drawingml/2006/main" xmlns:pic="http://schemas.openxmlformats.org/drawingml/2006/picture">
            <wp:extent cx="5112000" cy="2706353"/>
            <wp:docPr id="3" name="Picture 3"/>
            <wp:cNvGraphicFramePr>
              <a:graphicFrameLocks noChangeAspect="1"/>
            </wp:cNvGraphicFramePr>
            <a:graphic>
              <a:graphicData uri="http://schemas.openxmlformats.org/drawingml/2006/picture">
                <pic:pic>
                  <pic:nvPicPr>
                    <pic:cNvPr id="0" name="values.png"/>
                    <pic:cNvPicPr/>
                  </pic:nvPicPr>
                  <pic:blipFill>
                    <a:blip r:embed="rId12"/>
                    <a:stretch>
                      <a:fillRect/>
                    </a:stretch>
                  </pic:blipFill>
                  <pic:spPr>
                    <a:xfrm>
                      <a:off x="0" y="0"/>
                      <a:ext cx="5112000" cy="2706353"/>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3 – Удельные показатели кадастровой и рыночной стоимости участка 50:28:0000000:51403</w:t>
      </w:r>
    </w:p>
    <w:p>
      <w:pPr>
        <w:spacing w:line="360" w:lineRule="auto" w:before="0" w:after="0"/>
        <w:ind w:firstLine="709" w:left="0"/>
        <w:jc w:val="both"/>
      </w:pPr>
      <w:r>
        <w:rPr>
          <w:rFonts w:ascii="Times New Roman" w:hAnsi="Times New Roman" w:cs="Times New Roman" w:eastAsia="Times New Roman"/>
          <w:b w:val="0"/>
          <w:i w:val="0"/>
          <w:color w:val="000000"/>
          <w:sz w:val="28"/>
        </w:rPr>
        <w:t>Разрыв не означает, что кадастровая запись содержит арифметическую ошибку. УПКС согласован с площадью, дата определения согласована с туром оценки 2022 года, категория и вид использования соответствуют сегменту садоводства [11; 12]. Разрыв означает, что массовый показатель квартала и группы видов использования не совпал с ценами предложений конкретного товарищества в южной части округа на дату оценки. ЕГРН в этом месте пригоден как носитель кадастровой стоимости и непригоден как прейскурант. Продавец, который выставит участок за 3,08 млн руб. только потому, что так написано в карточке, будет ориентироваться на налоговую величину четырехлетней давности, а не на наблюдаемый рынок.</w:t>
      </w:r>
    </w:p>
    <w:p>
      <w:pPr>
        <w:spacing w:line="360" w:lineRule="auto" w:before="0" w:after="0"/>
        <w:ind w:firstLine="709" w:left="0"/>
        <w:jc w:val="both"/>
      </w:pPr>
      <w:r>
        <w:rPr>
          <w:rFonts w:ascii="Times New Roman" w:hAnsi="Times New Roman" w:cs="Times New Roman" w:eastAsia="Times New Roman"/>
          <w:b w:val="0"/>
          <w:i w:val="0"/>
          <w:color w:val="000000"/>
          <w:sz w:val="28"/>
        </w:rPr>
        <w:t>Земельный налог показывает ту же развилку с другой стороны. Решением Совета депутатов городского округа Домодедово от 25.09.2007 № 1-4/53 для участков, приобретенных или предоставленных для садоводства, ставка установлена в размере 0,15 процента кадастровой стоимости [14]. Налог от стоимости, внесенной в ЕГРН, составляет 3 078 864,73 × 0,0015 = 4 618,30 руб. в год. Если бы налоговой базой была полученная рыночная стоимость, налог составил бы 1 255 000 × 0,0015 = 1 882,50 руб. Разница — 2 735,80 руб. в год. Процедура установления кадастровой стоимости в размере рыночной предусмотрена законом [2; 6], но требует отчета оценщика. При экономии около 2,7 тыс. руб. в год расходы на такой отчет для данного участка, скорее всего, не окупятся за короткий срок владения. Практический смысл сравнения другой: кадастровую стоимость правильно использовать в налоговом расчете и неправильно использовать как цену продажи.</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7 – Кадастровая и рыночная величины по одному участку</w:t>
      </w:r>
    </w:p>
    <w:tbl>
      <w:tblPr>
        <w:tblW w:type="dxa" w:w="9639"/>
        <w:jc w:val="center"/>
        <w:tblLayout w:type="fixed"/>
        <w:tblLook w:firstColumn="1" w:firstRow="1" w:lastColumn="0" w:lastRow="0" w:noHBand="0" w:noVBand="1" w:val="04A0"/>
      </w:tblPr>
      <w:tblGrid>
        <w:gridCol w:w="3402"/>
        <w:gridCol w:w="3118"/>
        <w:gridCol w:w="3118"/>
      </w:tblGrid>
      <w:tr>
        <w:trPr>
          <w:cantSplit/>
          <w:tblHeader/>
        </w:trPr>
        <w:tc>
          <w:tcPr>
            <w:tcW w:type="dxa" w:w="3402"/>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Показатель</w:t>
            </w:r>
          </w:p>
        </w:tc>
        <w:tc>
          <w:tcPr>
            <w:tcW w:type="dxa" w:w="311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 сведениям ЕГРН</w:t>
            </w:r>
          </w:p>
        </w:tc>
        <w:tc>
          <w:tcPr>
            <w:tcW w:type="dxa" w:w="3118"/>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По расчету на 18.10.2026</w:t>
            </w:r>
          </w:p>
        </w:tc>
      </w:tr>
      <w:tr>
        <w:trPr>
          <w:cantSplit/>
        </w:trPr>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Стоимость, руб.</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1 255 000</w:t>
            </w:r>
          </w:p>
        </w:tc>
      </w:tr>
      <w:tr>
        <w:trPr>
          <w:cantSplit/>
        </w:trPr>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Удельный показатель, руб./кв. м</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3 063,55</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1 248,76</w:t>
            </w:r>
          </w:p>
        </w:tc>
      </w:tr>
      <w:tr>
        <w:trPr>
          <w:cantSplit/>
        </w:trPr>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Удельный показатель, руб./сотка</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306 355</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124 876</w:t>
            </w:r>
          </w:p>
        </w:tc>
      </w:tr>
      <w:tr>
        <w:trPr>
          <w:cantSplit/>
        </w:trPr>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Налог при ставке 0,15 %, руб./год</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4 618,30</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1 882,50</w:t>
            </w:r>
          </w:p>
        </w:tc>
      </w:tr>
      <w:tr>
        <w:trPr>
          <w:cantSplit/>
        </w:trPr>
        <w:tc>
          <w:tcPr>
            <w:tcW w:type="dxa" w:w="3402"/>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Для какого решения пригодна</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Налог, справка, статистика оценки</w:t>
            </w:r>
          </w:p>
        </w:tc>
        <w:tc>
          <w:tcPr>
            <w:tcW w:type="dxa" w:w="3118"/>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Ориентир цены сделки</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Достаточность сведений для сделки оценена по критерию таблицы 1 с учетом фактических пробелов комплекта. Идентификация объекта возможна: номер, адрес товарищества, площадь и контур согласованы. Количественная характеристика для цены пригодна: 1 005 кв. м подтверждены координатами с допуском 22 кв. м. Проверка продавца по открытой карточке не завершена: есть номер и дата регистрации собственности, нет фамилии актуального правообладателя и нет выписки о переходе прав. Вывод об отсутствии обременений преждевременен. Коммуникации, подъезд и состав зданий после 2015 года из ЕГРН в имеющемся комплекте не следуют. Зоны с особыми условиями отдельным списком не представлены: инструмент пересечений показал смежные участки, а не перечень ЗОУИТ. Цена из реестра не следует и не должна следовать.</w:t>
      </w:r>
    </w:p>
    <w:p>
      <w:pPr>
        <w:spacing w:line="360" w:lineRule="auto" w:before="0" w:after="0"/>
        <w:ind w:firstLine="709" w:left="0"/>
        <w:jc w:val="both"/>
      </w:pPr>
      <w:r>
        <w:rPr>
          <w:rFonts w:ascii="Times New Roman" w:hAnsi="Times New Roman" w:cs="Times New Roman" w:eastAsia="Times New Roman"/>
          <w:b w:val="0"/>
          <w:i w:val="0"/>
          <w:color w:val="000000"/>
          <w:sz w:val="28"/>
        </w:rPr>
        <w:t>Итог практической части состоит в следующем. Сведения ЕГРН по участку 50:28:0000000:51403 пригодны как информационное обеспечение рынка в части тождества объекта, площади, категории, вида разрешенного использования, факта зарегистрированной собственности и кадастровой стоимости для налога. Сведения межевого плана, из которых реестр получает границу, геометрически доброкачественны и могут использоваться для разбивки. Те же сведения непригодны как единственная основа цены, как замена выписки о правах и как описание потребительских свойств, которых в реестре нет.</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3 РЕКОМЕНДАЦИИ ПО ИСПОЛЬЗОВАНИЮ И ПОВЫШЕНИЮ ПРИГОДНОСТИ СВЕДЕНИЙ ЕГРН</w:t>
      </w:r>
    </w:p>
    <w:p>
      <w:pPr>
        <w:spacing w:line="360" w:lineRule="auto" w:before="240" w:after="240"/>
        <w:ind w:firstLine="0" w:left="0"/>
        <w:jc w:val="center"/>
      </w:pPr>
      <w:r>
        <w:rPr>
          <w:rFonts w:ascii="Times New Roman" w:hAnsi="Times New Roman" w:cs="Times New Roman" w:eastAsia="Times New Roman"/>
          <w:b/>
          <w:i w:val="0"/>
          <w:color w:val="000000"/>
          <w:sz w:val="28"/>
        </w:rPr>
        <w:t>3.1 Рекомендации применительно к участку 50:28:0000000:51403</w:t>
      </w:r>
    </w:p>
    <w:p>
      <w:pPr>
        <w:spacing w:line="360" w:lineRule="auto" w:before="0" w:after="0"/>
        <w:ind w:firstLine="709" w:left="0"/>
        <w:jc w:val="both"/>
      </w:pPr>
      <w:r>
        <w:rPr>
          <w:rFonts w:ascii="Times New Roman" w:hAnsi="Times New Roman" w:cs="Times New Roman" w:eastAsia="Times New Roman"/>
          <w:b w:val="0"/>
          <w:i w:val="0"/>
          <w:color w:val="000000"/>
          <w:sz w:val="28"/>
        </w:rPr>
        <w:t>Перед любой сделкой с участком 50:28:0000000:51403 следует заказать не справочный просмотр, а выписку из ЕГРН об основных характеристиках и зарегистрированных правах и выписку о переходе прав. Первая должна подтвердить правообладателя, отсутствие или наличие ипотеки, ареста и иных ограничений, а также состав характеристики «местоположение границы». Вторая покажет, совпадает ли цепочка с записью от 22.03.2016 и со свидетельствами 1993 года, названными в межевом плане. Пока эти документы не получены, фамилия заказчика работ 2015 года не должна указываться в договоре как фамилия продавца.</w:t>
      </w:r>
    </w:p>
    <w:p>
      <w:pPr>
        <w:spacing w:line="360" w:lineRule="auto" w:before="0" w:after="0"/>
        <w:ind w:firstLine="709" w:left="0"/>
        <w:jc w:val="both"/>
      </w:pPr>
      <w:r>
        <w:rPr>
          <w:rFonts w:ascii="Times New Roman" w:hAnsi="Times New Roman" w:cs="Times New Roman" w:eastAsia="Times New Roman"/>
          <w:b w:val="0"/>
          <w:i w:val="0"/>
          <w:color w:val="000000"/>
          <w:sz w:val="28"/>
        </w:rPr>
        <w:t>В договоре объект следует индивидуализировать кадастровым номером 50:28:0000000:51403, площадью 1 005 кв. м и адресом в редакции действующей записи ЕГРН: Московская область, городской округ Домодедово, территория СНТ «Ветеран-5», земельный участок 7. Упоминание деревни Соломахово допустимо как ориентир, но не как единственный адрес. Категорию земель и вид разрешенного использования нужно переписать из выписки дословно. Покупатель должен понимать, что «для садоводства» на землях сельскохозяйственного назначения позволяет использовать участок по Федеральному закону № 217-ФЗ, включая размещение садового дома в случаях, предусмотренных этим законом и градостроительным регламентом [8]. Сам регламент в ЕГРН не содержится, его нужно смотреть в правилах землепользования и застройки округа.</w:t>
      </w:r>
    </w:p>
    <w:p>
      <w:pPr>
        <w:spacing w:line="360" w:lineRule="auto" w:before="0" w:after="0"/>
        <w:ind w:firstLine="709" w:left="0"/>
        <w:jc w:val="both"/>
      </w:pPr>
      <w:r>
        <w:rPr>
          <w:rFonts w:ascii="Times New Roman" w:hAnsi="Times New Roman" w:cs="Times New Roman" w:eastAsia="Times New Roman"/>
          <w:b w:val="0"/>
          <w:i w:val="0"/>
          <w:color w:val="000000"/>
          <w:sz w:val="28"/>
        </w:rPr>
        <w:t>Цену предложения не следует назначать равной кадастровой стоимости 3 078 864,73 руб. Ориентир рыночной стоимости на 18.10.2026, полученный сравнительным подходом по открытым предложениям соседнего массива, составляет 1 255 000 руб. Это ориентир учебной оценки, а не оферта. Перед реальной продажей его нужно обновить по свежим объявлениям и, если стороны или банк требуют отчет, подтвердить заключением оценщика. Кадастровую стоимость при этом правильно сохранить в расчете ежегодного налога: 4 618,30 руб. при ставке 0,15 процента. Оспаривать ее ради экономии около 2,7 тыс. руб. в год имеет смысл только при длительном владении и при подтверждении рыночной стоимости отчетом. Во всех остальных случаях дешевле не путать две величины, чем пытаться их уравнять.</w:t>
      </w:r>
    </w:p>
    <w:p>
      <w:pPr>
        <w:spacing w:line="360" w:lineRule="auto" w:before="0" w:after="0"/>
        <w:ind w:firstLine="709" w:left="0"/>
        <w:jc w:val="both"/>
      </w:pPr>
      <w:r>
        <w:rPr>
          <w:rFonts w:ascii="Times New Roman" w:hAnsi="Times New Roman" w:cs="Times New Roman" w:eastAsia="Times New Roman"/>
          <w:b w:val="0"/>
          <w:i w:val="0"/>
          <w:color w:val="000000"/>
          <w:sz w:val="28"/>
        </w:rPr>
        <w:t>Границу при установке ограждения нужно выносить по каталогу точек н1–н5, а не по растровой публичной карте. Длины сторон 21,57 м, 5,75 м, 37,65 м, 27,09 м и 36,15 м уже проверены по координатам и могут служить контролем разбивки. Точку н2 пропускать нельзя: она фиксирует излом северной стороны. Средняя квадратическая погрешность 0,20 м задает ожидаемую точность положения точки, а не «допуск, в пределах которого забор можно сдвигать по договоренности». Западная сторона н5–н1 граничит с участком 50:28:0090134:10, правообладатель которого в плане не установлен. До начала работ на этой стороне целесообразно повторно проверить по выписке, появился ли правообладатель после 2015 года. Остальные стороны в 2015 году согласованы, возражений акт не содержит.</w:t>
      </w:r>
    </w:p>
    <w:p>
      <w:pPr>
        <w:spacing w:line="360" w:lineRule="auto" w:before="0" w:after="0"/>
        <w:ind w:firstLine="709" w:left="0"/>
        <w:jc w:val="both"/>
      </w:pPr>
      <w:r>
        <w:rPr>
          <w:rFonts w:ascii="Times New Roman" w:hAnsi="Times New Roman" w:cs="Times New Roman" w:eastAsia="Times New Roman"/>
          <w:b w:val="0"/>
          <w:i w:val="0"/>
          <w:color w:val="000000"/>
          <w:sz w:val="28"/>
        </w:rPr>
        <w:t>Имеет смысл один раз запросить выписку с координатами и сверить ее с каталогом межевого плана. Если координаты в выписке совпадут с н1–н5, вопрос о переносе сведений плана в реестр будет закрыт окончательно, а пометка «ранее учтенный» в НСПД останется особенностью отображения, а не дефектом границы. Если координаты в выписке отсутствуют или расходятся с планом больше чем на погрешность, следует ставить вопрос об уточнении сведений или об исправлении реестровой ошибки в порядке, предусмотренном Федеральным законом № 218-ФЗ [4]. До этой сверки утверждать, что в реестре лежит именно каталог 2015 года, нельзя, хотя площадь и смежества на это указывают.</w:t>
      </w:r>
    </w:p>
    <w:p>
      <w:pPr>
        <w:spacing w:line="360" w:lineRule="auto" w:before="0" w:after="0"/>
        <w:ind w:firstLine="709" w:left="0"/>
        <w:jc w:val="both"/>
      </w:pPr>
      <w:r>
        <w:rPr>
          <w:rFonts w:ascii="Times New Roman" w:hAnsi="Times New Roman" w:cs="Times New Roman" w:eastAsia="Times New Roman"/>
          <w:b w:val="0"/>
          <w:i w:val="0"/>
          <w:color w:val="000000"/>
          <w:sz w:val="28"/>
        </w:rPr>
        <w:t>Покупателю стоит отдельно запросить сведения, которых нет ни в карточке, ни в межевом плане: наличие электроснабжения и водоснабжения, возможность подъезда в течение года, состав членских взносов СНТ «Ветеран-5», отсутствие зданий, возведенных после 2015 года и не отраженных в ЕГРН. Эти сведения влияют на цену сильнее, чем допуск площади в 22 кв. м. Их отсутствие в реестре — не повод выдумывать их из карты, а повод вынести за пределы того, что ЕГРН способен гарантировать.</w:t>
      </w:r>
    </w:p>
    <w:p>
      <w:pPr>
        <w:spacing w:line="360" w:lineRule="auto" w:before="240" w:after="240"/>
        <w:ind w:firstLine="0" w:left="0"/>
        <w:jc w:val="center"/>
      </w:pPr>
      <w:r>
        <w:rPr>
          <w:rFonts w:ascii="Times New Roman" w:hAnsi="Times New Roman" w:cs="Times New Roman" w:eastAsia="Times New Roman"/>
          <w:b/>
          <w:i w:val="0"/>
          <w:color w:val="000000"/>
          <w:sz w:val="28"/>
        </w:rPr>
        <w:t>3.2 Предложения по информационному обеспечению рынка недвижимости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Пример одного садового участка показывает повторяемые, а не случайные ограничения. Публичная карточка и карточка НСПД расходятся в статусе. Номер содержит нулевой квартал, тогда как карта знает квартал 50:28:0090134. Кадастровая стоимость стоит рядом с площадью и визуально похожа на цену. Координаты, без которых граница не существует как реестровый объект, в открытый просмотр не выведены, хотя контур нарисован. Эти свойства мешают использовать ЕГРН именно как информационное обеспечение рынка, даже когда сами записи достоверны.</w:t>
      </w:r>
    </w:p>
    <w:p>
      <w:pPr>
        <w:spacing w:line="360" w:lineRule="auto" w:before="0" w:after="0"/>
        <w:ind w:firstLine="709" w:left="0"/>
        <w:jc w:val="both"/>
      </w:pPr>
      <w:r>
        <w:rPr>
          <w:rFonts w:ascii="Times New Roman" w:hAnsi="Times New Roman" w:cs="Times New Roman" w:eastAsia="Times New Roman"/>
          <w:b w:val="0"/>
          <w:i w:val="0"/>
          <w:color w:val="000000"/>
          <w:sz w:val="28"/>
        </w:rPr>
        <w:t>Первое предложение касается показа статуса. Если у ранее учтенного участка внесены координаты, Росреестр и НСПД должны одинаково сообщать: граница установлена, с датой внесения координат и величиной Mt. Сейчас одно окно пишет «актуально», другое — «ранее учтенный». Для залога это разные сигналы. Согласовать подписи можно без раскрытия персональных данных и без изменения состава реестра.</w:t>
      </w:r>
    </w:p>
    <w:p>
      <w:pPr>
        <w:spacing w:line="360" w:lineRule="auto" w:before="0" w:after="0"/>
        <w:ind w:firstLine="709" w:left="0"/>
        <w:jc w:val="both"/>
      </w:pPr>
      <w:r>
        <w:rPr>
          <w:rFonts w:ascii="Times New Roman" w:hAnsi="Times New Roman" w:cs="Times New Roman" w:eastAsia="Times New Roman"/>
          <w:b w:val="0"/>
          <w:i w:val="0"/>
          <w:color w:val="000000"/>
          <w:sz w:val="28"/>
        </w:rPr>
        <w:t>Второе предложение касается нулевого квартала в номере. Рядом с номером 50:28:0000000:51403 карточка должна постоянно показывать квартал фактического расположения 50:28:0090134. Сейчас он виден в НСПД и не виден в справочной карточке Росреестра. Единый показ объясняет, почему смежные участки имеют другую структуру номера, и сокращает ошибочный поиск. Для садоводческих массивов, где ранее учтенные участки стоят рядом с участками внутри квартала, это типичная, а не единичная ситуация.</w:t>
      </w:r>
    </w:p>
    <w:p>
      <w:pPr>
        <w:spacing w:line="360" w:lineRule="auto" w:before="0" w:after="0"/>
        <w:ind w:firstLine="709" w:left="0"/>
        <w:jc w:val="both"/>
      </w:pPr>
      <w:r>
        <w:rPr>
          <w:rFonts w:ascii="Times New Roman" w:hAnsi="Times New Roman" w:cs="Times New Roman" w:eastAsia="Times New Roman"/>
          <w:b w:val="0"/>
          <w:i w:val="0"/>
          <w:color w:val="000000"/>
          <w:sz w:val="28"/>
        </w:rPr>
        <w:t>Третье предложение касается цены. В карточке кадастровая стоимость должна сопровождаться постоянной пометкой, что величина определена для целей, предусмотренных законом, по состоянию на указанную дату и не является рыночной ценой. Дата определения и дата внесения уже показываются, но подписи недостаточно: на рассмотренном участке дата определения — 01.01.2022, а дата внесения — 05.12.2025. Без пояснения пользователь принимает более позднюю дату за дату оценки. Короткая формула рядом с суммой («массовая оценка на 01.01.2022, не является ценой сделки») сняла бы типичную ошибку, из-за которой кадастровая стоимость 3,08 млн руб. могла бы быть объявлена ценой участка стоимостью около 1,26 млн руб.</w:t>
      </w:r>
    </w:p>
    <w:p>
      <w:pPr>
        <w:spacing w:line="360" w:lineRule="auto" w:before="0" w:after="0"/>
        <w:ind w:firstLine="709" w:left="0"/>
        <w:jc w:val="both"/>
      </w:pPr>
      <w:r>
        <w:rPr>
          <w:rFonts w:ascii="Times New Roman" w:hAnsi="Times New Roman" w:cs="Times New Roman" w:eastAsia="Times New Roman"/>
          <w:b w:val="0"/>
          <w:i w:val="0"/>
          <w:color w:val="000000"/>
          <w:sz w:val="28"/>
        </w:rPr>
        <w:t>Четвертое предложение относится к координатам и разбивке. Рынок использует границу дважды: как картинку при выборе объекта и как каталог при установке ограждения и при споре. Картинка в НСПД уже есть. Каталог остается в межевом плане и в выписке. Для участка, граница которого уточнена, открытое описание могло бы содержать число характерных точек, систему координат и погрешность Mt без публикации полного каталога, если публикация каталога ограничена. Число «5 точек, МСК-50, Mt = 0,20 м» сразу показывает, что контур определен, и отсылает к межевому плану как к источнику разбивки. Сейчас этот вывод приходится собирать из плана вручную, как сделано в настоящей работе.</w:t>
      </w:r>
    </w:p>
    <w:p>
      <w:pPr>
        <w:spacing w:line="360" w:lineRule="auto" w:before="0" w:after="0"/>
        <w:ind w:firstLine="709" w:left="0"/>
        <w:jc w:val="both"/>
      </w:pPr>
      <w:r>
        <w:rPr>
          <w:rFonts w:ascii="Times New Roman" w:hAnsi="Times New Roman" w:cs="Times New Roman" w:eastAsia="Times New Roman"/>
          <w:b w:val="0"/>
          <w:i w:val="0"/>
          <w:color w:val="000000"/>
          <w:sz w:val="28"/>
        </w:rPr>
        <w:t>Пятое предложение связано с обременениями и зонами. Справочный раздел «права и ограничения» полезно дополнить явным признаком «ограничения не зарегистрированы» либо «ограничения зарегистрированы», не раскрывая персональных данных. Пустая графа читается неоднозначно. Отдельный признак нужен и для зон с особыми условиями: пересечение со смежным участком, как на рисунке исходных материалов, не отвечает на вопрос, попадает ли участок в охранную зону. Для садового участка это вопрос режима использования и, значит, элемент цены.</w:t>
      </w:r>
    </w:p>
    <w:p>
      <w:pPr>
        <w:spacing w:line="360" w:lineRule="auto" w:before="0" w:after="0"/>
        <w:ind w:firstLine="709" w:left="0"/>
        <w:jc w:val="both"/>
      </w:pPr>
      <w:r>
        <w:rPr>
          <w:rFonts w:ascii="Times New Roman" w:hAnsi="Times New Roman" w:cs="Times New Roman" w:eastAsia="Times New Roman"/>
          <w:b w:val="0"/>
          <w:i w:val="0"/>
          <w:color w:val="000000"/>
          <w:sz w:val="28"/>
        </w:rPr>
        <w:t>Шестое предложение адресовано участникам сделки. К выписке полезно прилагать короткий проверочный лист: кадастровый номер; площадь и допуск; категория и вид разрешенного использования; правообладатель и дата записи; ограничения; наличие координат; кадастровая стоимость с датой определения, отдельно от цены договора; квартал фактического расположения. Лист не заменяет выписку. Он не дает пропустить ту строку, которая на рассмотренном участке как раз отделяет пригодное сведение от непригодного.</w:t>
      </w:r>
    </w:p>
    <w:p>
      <w:pPr>
        <w:spacing w:line="360" w:lineRule="auto" w:before="0" w:after="0"/>
        <w:ind w:firstLine="709" w:left="0"/>
        <w:jc w:val="both"/>
      </w:pPr>
      <w:r>
        <w:rPr>
          <w:rFonts w:ascii="Times New Roman" w:hAnsi="Times New Roman" w:cs="Times New Roman" w:eastAsia="Times New Roman"/>
          <w:b w:val="0"/>
          <w:i w:val="0"/>
          <w:color w:val="000000"/>
          <w:sz w:val="28"/>
        </w:rPr>
        <w:t>Седьмое предложение касается цен. Пока в открытом контуре ЕГРН нет обезличенных цен сделок по кварталу и виду использования, сравнительный подход опирается на объявления. Для учебного расчета это допустимо, для оспаривания кадастровой стоимости — недостаточно. Такой слой можно было бы строить по сведениям о переходе права, не раскрывая сторон договора. Пока его нет, расчет, как в параграфе 2.3, должен прямо указывать, что аналоги взяты из предложений, а не из реестра.</w:t>
      </w:r>
    </w:p>
    <w:p>
      <w:pPr>
        <w:spacing w:line="360" w:lineRule="auto" w:before="0" w:after="0"/>
        <w:ind w:firstLine="709" w:left="0"/>
        <w:jc w:val="both"/>
      </w:pPr>
      <w:r>
        <w:rPr>
          <w:rFonts w:ascii="Times New Roman" w:hAnsi="Times New Roman" w:cs="Times New Roman" w:eastAsia="Times New Roman"/>
          <w:b w:val="0"/>
          <w:i w:val="0"/>
          <w:color w:val="000000"/>
          <w:sz w:val="28"/>
        </w:rPr>
        <w:t>Предложения не требуют изменения правового режима участка 50:28:0000000:51403. Его категория, вид использования, площадь и запись о собственности могут оставаться прежними. Меняется полнота показа и дисциплина использования. Реестр уже хранит сведения, без которых рынок не работает. Задача информационного обеспечения — не подменить реестр доской объявлений, а перестать требовать от кадастровой стоимости роли рыночной цены и от справочной карточки роли выписки.</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ЗАКЛЮЧЕНИЕ</w:t>
      </w:r>
    </w:p>
    <w:p>
      <w:pPr>
        <w:spacing w:line="360" w:lineRule="auto" w:before="0" w:after="0"/>
        <w:ind w:firstLine="709" w:left="0"/>
        <w:jc w:val="both"/>
      </w:pPr>
      <w:r>
        <w:rPr>
          <w:rFonts w:ascii="Times New Roman" w:hAnsi="Times New Roman" w:cs="Times New Roman" w:eastAsia="Times New Roman"/>
          <w:b w:val="0"/>
          <w:i w:val="0"/>
          <w:color w:val="000000"/>
          <w:sz w:val="28"/>
        </w:rPr>
        <w:t>Единый государственный реестр недвижимости является необходимой информационной основой рынка недвижимости, но не универсальным источником всех сведений для решения о сделке. Он отвечает на вопросы о существовании объекта, его площади, границах, правовом режиме, зарегистрированном праве и кадастровой стоимости. Он не назначает рыночную цену и в открытом просмотре не заменяет выписку о правах. Границы, координаты и площадь попадают в реестр из межевого плана. Поэтому пригодность реестра для рынка зависит от качества кадастровых работ и от того, насколько полно результат этих работ доведен до пользователя.</w:t>
      </w:r>
    </w:p>
    <w:p>
      <w:pPr>
        <w:spacing w:line="360" w:lineRule="auto" w:before="0" w:after="0"/>
        <w:ind w:firstLine="709" w:left="0"/>
        <w:jc w:val="both"/>
      </w:pPr>
      <w:r>
        <w:rPr>
          <w:rFonts w:ascii="Times New Roman" w:hAnsi="Times New Roman" w:cs="Times New Roman" w:eastAsia="Times New Roman"/>
          <w:b w:val="0"/>
          <w:i w:val="0"/>
          <w:color w:val="000000"/>
          <w:sz w:val="28"/>
        </w:rPr>
        <w:t>На примере земельного участка 50:28:0000000:51403 это положение проверено по трем источникам. Публичная карточка Росреестра, карточка НСПД и межевой план от 09.09.2015 одинаково указывают площадь 1 005 кв. м, категорию земель сельскохозяйственного назначения и использование для садоводства. Кадастровая стоимость 3 078 864,73 руб. соответствует удельному показателю 3 063,55 руб./кв. м и туру оценки на 01.01.2022. Собственность зарегистрирована записью от 22.03.2016. Кадастровый номер имеет нулевой квартал, а фактически участок расположен в квартале 50:28:0090134 на территории СНТ «Ветеран-5» городского округа Домодедово.</w:t>
      </w:r>
    </w:p>
    <w:p>
      <w:pPr>
        <w:spacing w:line="360" w:lineRule="auto" w:before="0" w:after="0"/>
        <w:ind w:firstLine="709" w:left="0"/>
        <w:jc w:val="both"/>
      </w:pPr>
      <w:r>
        <w:rPr>
          <w:rFonts w:ascii="Times New Roman" w:hAnsi="Times New Roman" w:cs="Times New Roman" w:eastAsia="Times New Roman"/>
          <w:b w:val="0"/>
          <w:i w:val="0"/>
          <w:color w:val="000000"/>
          <w:sz w:val="28"/>
        </w:rPr>
        <w:t>Геометрический контроль каталога н1–н5 подтвердил длины сторон, периметр 128,21 м и площадь 1 004,99 кв. м, которая округляется до реестровых 1 005 кв. м. Предельная погрешность площади составляет ±22 кв. м. Сумма внутренних углов совпала с теоретическими 540°. Расстояние до исходного пункта «Шахово» совпало с подписью 3,17 км на схеме плана. Смежества плана совпали с пересечениями на карте. Контур пригоден для идентификации объекта и для разбивки пяти характерных точек. Западная сторона требует внимания: правообладатель смежного участка 50:28:0090134:10 в плане не установлен. Запись формулы средней квадратической погрешности в плане (0,20 м при расчетном значении 0,21 м) на вывод о площади не повлияла.</w:t>
      </w:r>
    </w:p>
    <w:p>
      <w:pPr>
        <w:spacing w:line="360" w:lineRule="auto" w:before="0" w:after="0"/>
        <w:ind w:firstLine="709" w:left="0"/>
        <w:jc w:val="both"/>
      </w:pPr>
      <w:r>
        <w:rPr>
          <w:rFonts w:ascii="Times New Roman" w:hAnsi="Times New Roman" w:cs="Times New Roman" w:eastAsia="Times New Roman"/>
          <w:b w:val="0"/>
          <w:i w:val="0"/>
          <w:color w:val="000000"/>
          <w:sz w:val="28"/>
        </w:rPr>
        <w:t>Рыночная стоимость на 18.10.2026, определенная сравнительным подходом по открытым предложениям соседнего массива с поправками на торг, коммуникации, площадь и готовность границы, составила 1 255 000 руб., или 1 248,76 руб./кв. м. Это в 2,45 раза ниже кадастровой стоимости. Земельный налог при ставке 0,15 процента составляет 4 618,30 руб. в год. Кадастровая стоимость пригодна для этого расчета и непригодна как цена продажи. Затратный и доходный подходы к данному участку не применяются из-за отсутствия улучшений и сведений о доходе.</w:t>
      </w:r>
    </w:p>
    <w:p>
      <w:pPr>
        <w:spacing w:line="360" w:lineRule="auto" w:before="0" w:after="0"/>
        <w:ind w:firstLine="709" w:left="0"/>
        <w:jc w:val="both"/>
      </w:pPr>
      <w:r>
        <w:rPr>
          <w:rFonts w:ascii="Times New Roman" w:hAnsi="Times New Roman" w:cs="Times New Roman" w:eastAsia="Times New Roman"/>
          <w:b w:val="0"/>
          <w:i w:val="0"/>
          <w:color w:val="000000"/>
          <w:sz w:val="28"/>
        </w:rPr>
        <w:t>Открытых сведений недостаточно, чтобы назвать актуального правообладателя, гарантировать отсутствие обременений, подтвердить коммуникации и полный перечень зон с особыми условиями. Статус «ранее учтенный» в НСПД при статусе «актуально» в карточке Росреестра и при показанном контуре требует сверки с выпиской, содержащей координаты. Эти пробелы являются частью вывода, а не недочетом расчета: они показывают границу пригодности ЕГРН.</w:t>
      </w:r>
    </w:p>
    <w:p>
      <w:pPr>
        <w:spacing w:line="360" w:lineRule="auto" w:before="0" w:after="0"/>
        <w:ind w:firstLine="709" w:left="0"/>
        <w:jc w:val="both"/>
      </w:pPr>
      <w:r>
        <w:rPr>
          <w:rFonts w:ascii="Times New Roman" w:hAnsi="Times New Roman" w:cs="Times New Roman" w:eastAsia="Times New Roman"/>
          <w:b w:val="0"/>
          <w:i w:val="0"/>
          <w:color w:val="000000"/>
          <w:sz w:val="28"/>
        </w:rPr>
        <w:t>Рекомендации разделены на два уровня. По самому участку перед сделкой нужны выписки о правах и о переходе прав, цена должна опираться на рынок, а ограда — на каталог координат. По системе ведения и показа сведений предложено согласовать статус границы в публичных сервисах, показывать фактический квартал при нулевом номере квартала, отделять кадастровую стоимость от цены сделки, сообщать число точек и погрешность контура, явно указывать наличие ограничений и использовать проверочный лист при сделке. В этих пределах сведения ЕГРН пригодны как информационное обеспечение рынка недвижимости и должны использоваться вместе с межевым планом, а не вместо проверки прав и не вместо оценки стоимости.</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СПИСОК ИСПОЛЬЗОВАННЫХ ИСТОЧНИКОВ</w:t>
      </w:r>
    </w:p>
    <w:p>
      <w:pPr>
        <w:spacing w:line="360" w:lineRule="auto" w:before="0" w:after="40"/>
        <w:ind w:left="567" w:hanging="567"/>
        <w:jc w:val="both"/>
      </w:pPr>
      <w:r>
        <w:rPr>
          <w:rFonts w:ascii="Times New Roman" w:hAnsi="Times New Roman" w:cs="Times New Roman" w:eastAsia="Times New Roman"/>
          <w:b w:val="0"/>
          <w:i w:val="0"/>
          <w:color w:val="000000"/>
          <w:sz w:val="28"/>
        </w:rPr>
        <w:t>1. Гражданский кодекс Российской Федерации (часть первая) : Федеральный закон от 30.11.1994 № 51-ФЗ // Собрание законодательства РФ. — 1994. — № 32. — Ст. 3301.</w:t>
      </w:r>
    </w:p>
    <w:p>
      <w:pPr>
        <w:spacing w:line="360" w:lineRule="auto" w:before="0" w:after="40"/>
        <w:ind w:left="567" w:hanging="567"/>
        <w:jc w:val="both"/>
      </w:pPr>
      <w:r>
        <w:rPr>
          <w:rFonts w:ascii="Times New Roman" w:hAnsi="Times New Roman" w:cs="Times New Roman" w:eastAsia="Times New Roman"/>
          <w:b w:val="0"/>
          <w:i w:val="0"/>
          <w:color w:val="000000"/>
          <w:sz w:val="28"/>
        </w:rPr>
        <w:t>2. Земельный кодекс Российской Федерации : Федеральный закон от 25.10.2001 № 136-ФЗ // Собрание законодательства РФ. — 2001. — № 44. — Ст. 4147.</w:t>
      </w:r>
    </w:p>
    <w:p>
      <w:pPr>
        <w:spacing w:line="360" w:lineRule="auto" w:before="0" w:after="40"/>
        <w:ind w:left="567" w:hanging="567"/>
        <w:jc w:val="both"/>
      </w:pPr>
      <w:r>
        <w:rPr>
          <w:rFonts w:ascii="Times New Roman" w:hAnsi="Times New Roman" w:cs="Times New Roman" w:eastAsia="Times New Roman"/>
          <w:b w:val="0"/>
          <w:i w:val="0"/>
          <w:color w:val="000000"/>
          <w:sz w:val="28"/>
        </w:rPr>
        <w:t>3. Налоговый кодекс Российской Федерации (часть вторая) : Федеральный закон от 05.08.2000 № 117-ФЗ // Собрание законодательства РФ. — 2000. — № 32. — Ст. 3340.</w:t>
      </w:r>
    </w:p>
    <w:p>
      <w:pPr>
        <w:spacing w:line="360" w:lineRule="auto" w:before="0" w:after="40"/>
        <w:ind w:left="567" w:hanging="567"/>
        <w:jc w:val="both"/>
      </w:pPr>
      <w:r>
        <w:rPr>
          <w:rFonts w:ascii="Times New Roman" w:hAnsi="Times New Roman" w:cs="Times New Roman" w:eastAsia="Times New Roman"/>
          <w:b w:val="0"/>
          <w:i w:val="0"/>
          <w:color w:val="000000"/>
          <w:sz w:val="28"/>
        </w:rPr>
        <w:t>4. О государственной регистрации недвижимости : Федеральный закон от 13.07.2015 № 218-ФЗ // Собрание законодательства РФ. — 2015. — № 29 (часть I). — Ст. 4344.</w:t>
      </w:r>
    </w:p>
    <w:p>
      <w:pPr>
        <w:spacing w:line="360" w:lineRule="auto" w:before="0" w:after="40"/>
        <w:ind w:left="567" w:hanging="567"/>
        <w:jc w:val="both"/>
      </w:pPr>
      <w:r>
        <w:rPr>
          <w:rFonts w:ascii="Times New Roman" w:hAnsi="Times New Roman" w:cs="Times New Roman" w:eastAsia="Times New Roman"/>
          <w:b w:val="0"/>
          <w:i w:val="0"/>
          <w:color w:val="000000"/>
          <w:sz w:val="28"/>
        </w:rPr>
        <w:t>5. О кадастровой деятельности : Федеральный закон от 24.07.2007 № 221-ФЗ // Собрание законодательства РФ. — 2007. — № 31. — Ст. 4017.</w:t>
      </w:r>
    </w:p>
    <w:p>
      <w:pPr>
        <w:spacing w:line="360" w:lineRule="auto" w:before="0" w:after="40"/>
        <w:ind w:left="567" w:hanging="567"/>
        <w:jc w:val="both"/>
      </w:pPr>
      <w:r>
        <w:rPr>
          <w:rFonts w:ascii="Times New Roman" w:hAnsi="Times New Roman" w:cs="Times New Roman" w:eastAsia="Times New Roman"/>
          <w:b w:val="0"/>
          <w:i w:val="0"/>
          <w:color w:val="000000"/>
          <w:sz w:val="28"/>
        </w:rPr>
        <w:t>6. О государственной кадастровой оценке : Федеральный закон от 03.07.2016 № 237-ФЗ // Собрание законодательства РФ. — 2016. — № 27 (часть I). — Ст. 4170.</w:t>
      </w:r>
    </w:p>
    <w:p>
      <w:pPr>
        <w:spacing w:line="360" w:lineRule="auto" w:before="0" w:after="40"/>
        <w:ind w:left="567" w:hanging="567"/>
        <w:jc w:val="both"/>
      </w:pPr>
      <w:r>
        <w:rPr>
          <w:rFonts w:ascii="Times New Roman" w:hAnsi="Times New Roman" w:cs="Times New Roman" w:eastAsia="Times New Roman"/>
          <w:b w:val="0"/>
          <w:i w:val="0"/>
          <w:color w:val="000000"/>
          <w:sz w:val="28"/>
        </w:rPr>
        <w:t>7. Об оценочной деятельности в Российской Федерации : Федеральный закон от 29.07.1998 № 135-ФЗ // Собрание законодательства РФ. — 1998. — № 31. — Ст. 3813.</w:t>
      </w:r>
    </w:p>
    <w:p>
      <w:pPr>
        <w:spacing w:line="360" w:lineRule="auto" w:before="0" w:after="40"/>
        <w:ind w:left="567" w:hanging="567"/>
        <w:jc w:val="both"/>
      </w:pPr>
      <w:r>
        <w:rPr>
          <w:rFonts w:ascii="Times New Roman" w:hAnsi="Times New Roman" w:cs="Times New Roman" w:eastAsia="Times New Roman"/>
          <w:b w:val="0"/>
          <w:i w:val="0"/>
          <w:color w:val="000000"/>
          <w:sz w:val="28"/>
        </w:rPr>
        <w:t>8. О ведении гражданами садоводства и огородничества для собственных нужд и о внесении изменений в отдельные законодательные акты Российской Федерации : Федеральный закон от 29.07.2017 № 217-ФЗ // Собрание законодательства РФ. — 2017. — № 31 (часть I). — Ст. 4766.</w:t>
      </w:r>
    </w:p>
    <w:p>
      <w:pPr>
        <w:spacing w:line="360" w:lineRule="auto" w:before="0" w:after="40"/>
        <w:ind w:left="567" w:hanging="567"/>
        <w:jc w:val="both"/>
      </w:pPr>
      <w:r>
        <w:rPr>
          <w:rFonts w:ascii="Times New Roman" w:hAnsi="Times New Roman" w:cs="Times New Roman" w:eastAsia="Times New Roman"/>
          <w:b w:val="0"/>
          <w:i w:val="0"/>
          <w:color w:val="000000"/>
          <w:sz w:val="28"/>
        </w:rPr>
        <w:t>9. Об утверждении формы и состава сведений межевого плана, требований к его подготовке : приказ Росреестра от 14.12.2021 № П/0592 (зарегистрирован в Минюсте России 31.03.2022 № 68008).</w:t>
      </w:r>
    </w:p>
    <w:p>
      <w:pPr>
        <w:spacing w:line="360" w:lineRule="auto" w:before="0" w:after="40"/>
        <w:ind w:left="567" w:hanging="567"/>
        <w:jc w:val="both"/>
      </w:pPr>
      <w:r>
        <w:rPr>
          <w:rFonts w:ascii="Times New Roman" w:hAnsi="Times New Roman" w:cs="Times New Roman" w:eastAsia="Times New Roman"/>
          <w:b w:val="0"/>
          <w:i w:val="0"/>
          <w:color w:val="000000"/>
          <w:sz w:val="28"/>
        </w:rPr>
        <w:t>10. Об утверждении формы межевого плана и требований к его подготовке, примерной формы извещения о проведении собрания о согласовании местоположения границ земельных участков : приказ Минэкономразвития России от 24.11.2008 № 412 (применен как форма межевого плана от 09.09.2015).</w:t>
      </w:r>
    </w:p>
    <w:p>
      <w:pPr>
        <w:spacing w:line="360" w:lineRule="auto" w:before="0" w:after="40"/>
        <w:ind w:left="567" w:hanging="567"/>
        <w:jc w:val="both"/>
      </w:pPr>
      <w:r>
        <w:rPr>
          <w:rFonts w:ascii="Times New Roman" w:hAnsi="Times New Roman" w:cs="Times New Roman" w:eastAsia="Times New Roman"/>
          <w:b w:val="0"/>
          <w:i w:val="0"/>
          <w:color w:val="000000"/>
          <w:sz w:val="28"/>
        </w:rPr>
        <w:t>11. Об утверждении Методических указаний о государственной кадастровой оценке : приказ Росреестра от 04.08.2021 № П/0336.</w:t>
      </w:r>
    </w:p>
    <w:p>
      <w:pPr>
        <w:spacing w:line="360" w:lineRule="auto" w:before="0" w:after="40"/>
        <w:ind w:left="567" w:hanging="567"/>
        <w:jc w:val="both"/>
      </w:pPr>
      <w:r>
        <w:rPr>
          <w:rFonts w:ascii="Times New Roman" w:hAnsi="Times New Roman" w:cs="Times New Roman" w:eastAsia="Times New Roman"/>
          <w:b w:val="0"/>
          <w:i w:val="0"/>
          <w:color w:val="000000"/>
          <w:sz w:val="28"/>
        </w:rPr>
        <w:t>12. Об утверждении результатов определения кадастровой стоимости : распоряжение Министерства имущественных отношений Московской области от 28.11.2022 № 15ВР-2452.</w:t>
      </w:r>
    </w:p>
    <w:p>
      <w:pPr>
        <w:spacing w:line="360" w:lineRule="auto" w:before="0" w:after="40"/>
        <w:ind w:left="567" w:hanging="567"/>
        <w:jc w:val="both"/>
      </w:pPr>
      <w:r>
        <w:rPr>
          <w:rFonts w:ascii="Times New Roman" w:hAnsi="Times New Roman" w:cs="Times New Roman" w:eastAsia="Times New Roman"/>
          <w:b w:val="0"/>
          <w:i w:val="0"/>
          <w:color w:val="000000"/>
          <w:sz w:val="28"/>
        </w:rPr>
        <w:t>13. Об утверждении средних значений кадастровой стоимости : распоряжение Министерства имущественных отношений Московской области от 28.11.2022 № 15ВР-2453.</w:t>
      </w:r>
    </w:p>
    <w:p>
      <w:pPr>
        <w:spacing w:line="360" w:lineRule="auto" w:before="0" w:after="40"/>
        <w:ind w:left="567" w:hanging="567"/>
        <w:jc w:val="both"/>
      </w:pPr>
      <w:r>
        <w:rPr>
          <w:rFonts w:ascii="Times New Roman" w:hAnsi="Times New Roman" w:cs="Times New Roman" w:eastAsia="Times New Roman"/>
          <w:b w:val="0"/>
          <w:i w:val="0"/>
          <w:color w:val="000000"/>
          <w:sz w:val="28"/>
        </w:rPr>
        <w:t>14. Об установлении и введении в действие земельного налога : решение Совета депутатов городского округа Домодедово Московской области от 25.09.2007 № 1-4/53.</w:t>
      </w:r>
    </w:p>
    <w:p>
      <w:pPr>
        <w:spacing w:line="360" w:lineRule="auto" w:before="0" w:after="40"/>
        <w:ind w:left="567" w:hanging="567"/>
        <w:jc w:val="both"/>
      </w:pPr>
      <w:r>
        <w:rPr>
          <w:rFonts w:ascii="Times New Roman" w:hAnsi="Times New Roman" w:cs="Times New Roman" w:eastAsia="Times New Roman"/>
          <w:b w:val="0"/>
          <w:i w:val="0"/>
          <w:color w:val="000000"/>
          <w:sz w:val="28"/>
        </w:rPr>
        <w:t>15. Об утверждении федеральных стандартов оценки : приказ Минэкономразвития России от 14.04.2022 № 200.</w:t>
      </w:r>
    </w:p>
    <w:p>
      <w:pPr>
        <w:spacing w:line="360" w:lineRule="auto" w:before="0" w:after="40"/>
        <w:ind w:left="567" w:hanging="567"/>
        <w:jc w:val="both"/>
      </w:pPr>
      <w:r>
        <w:rPr>
          <w:rFonts w:ascii="Times New Roman" w:hAnsi="Times New Roman" w:cs="Times New Roman" w:eastAsia="Times New Roman"/>
          <w:b w:val="0"/>
          <w:i w:val="0"/>
          <w:color w:val="000000"/>
          <w:sz w:val="28"/>
        </w:rPr>
        <w:t>16. Варламов, А. А. Кадастровая деятельность : учебник / А. А. Варламов, С. А. Гальченко, Е. И. Аврунев. — Москва : ФОРУМ : ИНФРА-М, 2020.</w:t>
      </w:r>
    </w:p>
    <w:p>
      <w:pPr>
        <w:spacing w:line="360" w:lineRule="auto" w:before="0" w:after="40"/>
        <w:ind w:left="567" w:hanging="567"/>
        <w:jc w:val="both"/>
      </w:pPr>
      <w:r>
        <w:rPr>
          <w:rFonts w:ascii="Times New Roman" w:hAnsi="Times New Roman" w:cs="Times New Roman" w:eastAsia="Times New Roman"/>
          <w:b w:val="0"/>
          <w:i w:val="0"/>
          <w:color w:val="000000"/>
          <w:sz w:val="28"/>
        </w:rPr>
        <w:t>17. Сулин, М. А. Кадастр недвижимости : учебник для вузов / М. А. Сулин, Е. Н. Быкова, В. А. Павлова. — Санкт-Петербург : Лань, 2021.</w:t>
      </w:r>
    </w:p>
    <w:p>
      <w:pPr>
        <w:spacing w:line="360" w:lineRule="auto" w:before="0" w:after="40"/>
        <w:ind w:left="567" w:hanging="567"/>
        <w:jc w:val="both"/>
      </w:pPr>
      <w:r>
        <w:rPr>
          <w:rFonts w:ascii="Times New Roman" w:hAnsi="Times New Roman" w:cs="Times New Roman" w:eastAsia="Times New Roman"/>
          <w:b w:val="0"/>
          <w:i w:val="0"/>
          <w:color w:val="000000"/>
          <w:sz w:val="28"/>
        </w:rPr>
        <w:t>18. Справочная информация по объектам недвижимости в режиме online. Земельный участок 50:28:0000000:51403, дата обновления сведений 28.09.2026 // Росреестр. — URL: https://lk.rosreestr.ru/eservices/real-estate-objects-online (дата обращения: 18.10.2026).</w:t>
      </w:r>
    </w:p>
    <w:p>
      <w:pPr>
        <w:spacing w:line="360" w:lineRule="auto" w:before="0" w:after="40"/>
        <w:ind w:left="567" w:hanging="567"/>
        <w:jc w:val="both"/>
      </w:pPr>
      <w:r>
        <w:rPr>
          <w:rFonts w:ascii="Times New Roman" w:hAnsi="Times New Roman" w:cs="Times New Roman" w:eastAsia="Times New Roman"/>
          <w:b w:val="0"/>
          <w:i w:val="0"/>
          <w:color w:val="000000"/>
          <w:sz w:val="28"/>
        </w:rPr>
        <w:t>19. Земельный участок 50:28:0000000:51403 // Национальная система пространственных данных. — URL: https://nspd.gov.ru/ (дата обращения: 18.10.2026).</w:t>
      </w:r>
    </w:p>
    <w:p>
      <w:pPr>
        <w:spacing w:line="360" w:lineRule="auto" w:before="0" w:after="40"/>
        <w:ind w:left="567" w:hanging="567"/>
        <w:jc w:val="both"/>
      </w:pPr>
      <w:r>
        <w:rPr>
          <w:rFonts w:ascii="Times New Roman" w:hAnsi="Times New Roman" w:cs="Times New Roman" w:eastAsia="Times New Roman"/>
          <w:b w:val="0"/>
          <w:i w:val="0"/>
          <w:color w:val="000000"/>
          <w:sz w:val="28"/>
        </w:rPr>
        <w:t>20. Межевой план земельного участка с кадастровым номером 50:28:0000000:51403 от 09.09.2015 / кадастровый инженер Мурагина Е. В. — исходные материалы курсовой работы. — URL: https://cgiku.ru/obrazets-mezhevogo-plana-zemel-nogo-uchastka/ (дата обращения: 18.10.2026).</w:t>
      </w:r>
    </w:p>
    <w:p>
      <w:pPr>
        <w:spacing w:line="360" w:lineRule="auto" w:before="0" w:after="40"/>
        <w:ind w:left="567" w:hanging="567"/>
        <w:jc w:val="both"/>
      </w:pPr>
      <w:r>
        <w:rPr>
          <w:rFonts w:ascii="Times New Roman" w:hAnsi="Times New Roman" w:cs="Times New Roman" w:eastAsia="Times New Roman"/>
          <w:b w:val="0"/>
          <w:i w:val="0"/>
          <w:color w:val="000000"/>
          <w:sz w:val="28"/>
        </w:rPr>
        <w:t>21. Объявления о продаже земельных участков в СНТ «Лайнер-Соломыково» городского округа Домодедово // N1. — URL: https://domodedovo-1.n1.ru/kupit/zemelniy-uchastok/moskovskaya-oblast-domodedovo-gorodskoy-okrug-snt-layner-solomykovo/ (дата обращения: 18.10.2026).</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ПРИЛОЖЕНИЕ А</w:t>
      </w:r>
    </w:p>
    <w:p>
      <w:pPr>
        <w:spacing w:line="360" w:lineRule="auto" w:before="0" w:after="160"/>
        <w:ind w:firstLine="0" w:left="0"/>
        <w:jc w:val="center"/>
      </w:pPr>
      <w:r>
        <w:rPr>
          <w:rFonts w:ascii="Times New Roman" w:hAnsi="Times New Roman" w:cs="Times New Roman" w:eastAsia="Times New Roman"/>
          <w:b/>
          <w:i w:val="0"/>
          <w:color w:val="000000"/>
          <w:sz w:val="28"/>
        </w:rPr>
        <w:t>Сводные сведения об объекте оценки</w:t>
      </w:r>
    </w:p>
    <w:p>
      <w:pPr>
        <w:spacing w:line="360" w:lineRule="auto" w:before="0" w:after="0"/>
        <w:ind w:firstLine="709" w:left="0"/>
        <w:jc w:val="both"/>
      </w:pPr>
      <w:r>
        <w:rPr>
          <w:rFonts w:ascii="Times New Roman" w:hAnsi="Times New Roman" w:cs="Times New Roman" w:eastAsia="Times New Roman"/>
          <w:b w:val="0"/>
          <w:i w:val="0"/>
          <w:color w:val="000000"/>
          <w:sz w:val="28"/>
        </w:rPr>
        <w:t>Таблица А.1 составлена по публичной карточке Росреестра, карточке НСПД и межевому плану. Показатели, которые хотя бы в одном источнике отсутствуют, не заполнялись предположительно.</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А.1 – Паспорт объекта оценки</w:t>
      </w:r>
    </w:p>
    <w:tbl>
      <w:tblPr>
        <w:tblW w:type="dxa" w:w="9639"/>
        <w:jc w:val="center"/>
        <w:tblLayout w:type="fixed"/>
        <w:tblLook w:firstColumn="1" w:firstRow="1" w:lastColumn="0" w:lastRow="0" w:noHBand="0" w:noVBand="1" w:val="04A0"/>
      </w:tblPr>
      <w:tblGrid>
        <w:gridCol w:w="3969"/>
        <w:gridCol w:w="5670"/>
      </w:tblGrid>
      <w:tr>
        <w:trPr>
          <w:cantSplit/>
          <w:tblHeader/>
        </w:trPr>
        <w:tc>
          <w:tcPr>
            <w:tcW w:type="dxa" w:w="3969"/>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Реквизит</w:t>
            </w:r>
          </w:p>
        </w:tc>
        <w:tc>
          <w:tcPr>
            <w:tcW w:type="dxa" w:w="5670"/>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Значение</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Вид объекта</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Земельный участок</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Кадастровый номер</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50:28:0000000:51403</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Дата присвоения номера</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24.04.2015</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Кадастровый квартал по карте</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50:28:0090134</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Адрес по ЕГРН</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Московская область, г. о. Домодедово, тер. СНТ «Ветеран-5», з/у 7</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Адрес в межевом плане</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Московская область, Домодедовский район, СНТ «Ветеран-5», уч. № 7</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1 005 кв. м (10,05 сотки)</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Допуск площади</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 кв. м</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Категория земель</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Земли сельскохозяйственного назначения</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Вид разрешенного использования</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Для садоводства</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Форма собственности</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Частная</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Зарегистрированное право</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Собственность, № 50-50/028-50/028/005/2016-1164/1 от 22.03.2016</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Кадастровая стоимость</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 руб.</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Дата определения / внесения</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01.01.2022 / 05.12.2025</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УПКС</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3 063,55 руб./кв. м</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Система координат границы</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МСК-50</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Число характерных точек</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 (н1–н5)</w:t>
            </w:r>
          </w:p>
        </w:tc>
      </w:tr>
      <w:tr>
        <w:trPr>
          <w:cantSplit/>
        </w:trPr>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Рыночная стоимость на 18.10.2026</w:t>
            </w:r>
          </w:p>
        </w:tc>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1 255 000 руб. (учебный расчет)</w:t>
            </w:r>
          </w:p>
        </w:tc>
      </w:tr>
    </w:tbl>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ПРИЛОЖЕНИЕ Б</w:t>
      </w:r>
    </w:p>
    <w:p>
      <w:pPr>
        <w:spacing w:line="360" w:lineRule="auto" w:before="0" w:after="160"/>
        <w:ind w:firstLine="0" w:left="0"/>
        <w:jc w:val="center"/>
      </w:pPr>
      <w:r>
        <w:rPr>
          <w:rFonts w:ascii="Times New Roman" w:hAnsi="Times New Roman" w:cs="Times New Roman" w:eastAsia="Times New Roman"/>
          <w:b/>
          <w:i w:val="0"/>
          <w:color w:val="000000"/>
          <w:sz w:val="28"/>
        </w:rPr>
        <w:t>Каталог координат, разбивочная ведомость и расчет площади</w:t>
      </w:r>
    </w:p>
    <w:p>
      <w:pPr>
        <w:spacing w:line="360" w:lineRule="auto" w:before="0" w:after="0"/>
        <w:ind w:firstLine="709" w:left="0"/>
        <w:jc w:val="both"/>
      </w:pPr>
      <w:r>
        <w:rPr>
          <w:rFonts w:ascii="Times New Roman" w:hAnsi="Times New Roman" w:cs="Times New Roman" w:eastAsia="Times New Roman"/>
          <w:b w:val="0"/>
          <w:i w:val="0"/>
          <w:color w:val="000000"/>
          <w:sz w:val="28"/>
        </w:rPr>
        <w:t>Разбивка участка на местности выполняется выносом точек н1–н5 по координатам МСК-50. Контролем служат дирекционный угол и горизонтальное проложение каждой стороны. После выноса последней точки ход должен замкнуться на н1 с расхождением в пределах средней квадратической погрешности положения точки.</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Б.1 – Разбивочная ведомость</w:t>
      </w:r>
    </w:p>
    <w:tbl>
      <w:tblPr>
        <w:tblW w:type="dxa" w:w="9639"/>
        <w:jc w:val="center"/>
        <w:tblLayout w:type="fixed"/>
        <w:tblLook w:firstColumn="1" w:firstRow="1" w:lastColumn="0" w:lastRow="0" w:noHBand="0" w:noVBand="1" w:val="04A0"/>
      </w:tblPr>
      <w:tblGrid>
        <w:gridCol w:w="793"/>
        <w:gridCol w:w="1020"/>
        <w:gridCol w:w="1701"/>
        <w:gridCol w:w="1814"/>
        <w:gridCol w:w="1247"/>
        <w:gridCol w:w="1814"/>
        <w:gridCol w:w="1247"/>
      </w:tblGrid>
      <w:tr>
        <w:trPr>
          <w:cantSplit/>
          <w:tblHeader/>
        </w:trPr>
        <w:tc>
          <w:tcPr>
            <w:tcW w:type="dxa" w:w="793"/>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w:t>
            </w:r>
          </w:p>
        </w:tc>
        <w:tc>
          <w:tcPr>
            <w:tcW w:type="dxa" w:w="1020"/>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Точка</w:t>
            </w:r>
          </w:p>
        </w:tc>
        <w:tc>
          <w:tcPr>
            <w:tcW w:type="dxa" w:w="1701"/>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X, м</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Y, м</w:t>
            </w:r>
          </w:p>
        </w:tc>
        <w:tc>
          <w:tcPr>
            <w:tcW w:type="dxa" w:w="124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Сторона</w:t>
            </w:r>
          </w:p>
        </w:tc>
        <w:tc>
          <w:tcPr>
            <w:tcW w:type="dxa" w:w="1814"/>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Дирекционный угол</w:t>
            </w:r>
          </w:p>
        </w:tc>
        <w:tc>
          <w:tcPr>
            <w:tcW w:type="dxa" w:w="1247"/>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S, м</w:t>
            </w:r>
          </w:p>
        </w:tc>
      </w:tr>
      <w:tr>
        <w:trPr>
          <w:cantSplit/>
        </w:trPr>
        <w:tc>
          <w:tcPr>
            <w:tcW w:type="dxa" w:w="79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w:t>
            </w:r>
          </w:p>
        </w:tc>
        <w:tc>
          <w:tcPr>
            <w:tcW w:type="dxa" w:w="102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420840,25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2217780,05</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н1–н2</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85°14'26,8"</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21,57</w:t>
            </w:r>
          </w:p>
        </w:tc>
      </w:tr>
      <w:tr>
        <w:trPr>
          <w:cantSplit/>
        </w:trPr>
        <w:tc>
          <w:tcPr>
            <w:tcW w:type="dxa" w:w="79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w:t>
            </w:r>
          </w:p>
        </w:tc>
        <w:tc>
          <w:tcPr>
            <w:tcW w:type="dxa" w:w="102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н2</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420842,04</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2217801,55</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н2–н3</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86°54'31,1"</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5,75</w:t>
            </w:r>
          </w:p>
        </w:tc>
      </w:tr>
      <w:tr>
        <w:trPr>
          <w:cantSplit/>
        </w:trPr>
        <w:tc>
          <w:tcPr>
            <w:tcW w:type="dxa" w:w="79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w:t>
            </w:r>
          </w:p>
        </w:tc>
        <w:tc>
          <w:tcPr>
            <w:tcW w:type="dxa" w:w="102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н3</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420842,35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2217807,29</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н3–н4</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176°05'08,5"</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37,65</w:t>
            </w:r>
          </w:p>
        </w:tc>
      </w:tr>
      <w:tr>
        <w:trPr>
          <w:cantSplit/>
        </w:trPr>
        <w:tc>
          <w:tcPr>
            <w:tcW w:type="dxa" w:w="79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w:t>
            </w:r>
          </w:p>
        </w:tc>
        <w:tc>
          <w:tcPr>
            <w:tcW w:type="dxa" w:w="102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н4</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420804,79</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2217809,86</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н4–н5</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268°45'06,8"</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27,09</w:t>
            </w:r>
          </w:p>
        </w:tc>
      </w:tr>
      <w:tr>
        <w:trPr>
          <w:cantSplit/>
        </w:trPr>
        <w:tc>
          <w:tcPr>
            <w:tcW w:type="dxa" w:w="79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w:t>
            </w:r>
          </w:p>
        </w:tc>
        <w:tc>
          <w:tcPr>
            <w:tcW w:type="dxa" w:w="102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н5</w:t>
            </w:r>
          </w:p>
        </w:tc>
        <w:tc>
          <w:tcPr>
            <w:tcW w:type="dxa" w:w="1701"/>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420804,20</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2217782,78</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н5–н1</w:t>
            </w:r>
          </w:p>
        </w:tc>
        <w:tc>
          <w:tcPr>
            <w:tcW w:type="dxa" w:w="1814"/>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355°40'09,7"</w:t>
            </w:r>
          </w:p>
        </w:tc>
        <w:tc>
          <w:tcPr>
            <w:tcW w:type="dxa" w:w="1247"/>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36,15</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Исходный геодезический пункт для схемы построений: «Шахово», пирамида, 3 класс, X = 419 546,85 м, Y = 2 214 903,66 м. Расстояние от пункта до точки н2 — 3 174 м (3,17 км).</w:t>
      </w:r>
    </w:p>
    <w:p>
      <w:pPr>
        <w:spacing w:line="360" w:lineRule="auto" w:before="0" w:after="0"/>
        <w:ind w:firstLine="709" w:left="0"/>
        <w:jc w:val="both"/>
      </w:pPr>
      <w:r>
        <w:rPr>
          <w:rFonts w:ascii="Times New Roman" w:hAnsi="Times New Roman" w:cs="Times New Roman" w:eastAsia="Times New Roman"/>
          <w:b w:val="0"/>
          <w:i w:val="0"/>
          <w:color w:val="000000"/>
          <w:sz w:val="28"/>
        </w:rPr>
        <w:t>Площадь вычислена по формуле (2). Слагаемые суммы приведены в таблице Б.2.</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Б.2 – Слагаемые формулы площади</w:t>
      </w:r>
    </w:p>
    <w:tbl>
      <w:tblPr>
        <w:tblW w:type="dxa" w:w="9639"/>
        <w:jc w:val="center"/>
        <w:tblLayout w:type="fixed"/>
        <w:tblLook w:firstColumn="1" w:firstRow="1" w:lastColumn="0" w:lastRow="0" w:noHBand="0" w:noVBand="1" w:val="04A0"/>
      </w:tblPr>
      <w:tblGrid>
        <w:gridCol w:w="4536"/>
        <w:gridCol w:w="5103"/>
      </w:tblGrid>
      <w:tr>
        <w:trPr>
          <w:cantSplit/>
          <w:tblHeader/>
        </w:trPr>
        <w:tc>
          <w:tcPr>
            <w:tcW w:type="dxa" w:w="4536"/>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Участок контура</w:t>
            </w:r>
          </w:p>
        </w:tc>
        <w:tc>
          <w:tcPr>
            <w:tcW w:type="dxa" w:w="5103"/>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Xi·Yi+1 − Xi+1·Yi, кв. м</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н1–н2</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5 078 239,09</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н2–н3</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1 728 114,83</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н3–н4</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84 382 406,65</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н4–н5</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-10 086 885,90</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н5–н1</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-81 099 864,68</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Сумма</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2 009,99</w:t>
            </w:r>
          </w:p>
        </w:tc>
      </w:tr>
      <w:tr>
        <w:trPr>
          <w:cantSplit/>
        </w:trPr>
        <w:tc>
          <w:tcPr>
            <w:tcW w:type="dxa" w:w="4536"/>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Модуль суммы / 2 (площадь)</w:t>
            </w:r>
          </w:p>
        </w:tc>
        <w:tc>
          <w:tcPr>
            <w:tcW w:type="dxa" w:w="5103"/>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1 004,99</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Полученная площадь 1 004,99 кв. м округляется до 1 005 кв. м. При Mt = 0,20 м предельная погрешность ΔP = 3,5 × 0,20 × √1005 = 22,19 кв. м, в плане принята равной 22 кв. м. При Mt = 0,209 м погрешность равна 23,17 кв. м.</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ПРИЛОЖЕНИЕ В</w:t>
      </w:r>
    </w:p>
    <w:p>
      <w:pPr>
        <w:spacing w:line="360" w:lineRule="auto" w:before="0" w:after="120"/>
        <w:ind w:firstLine="0" w:left="0"/>
        <w:jc w:val="center"/>
      </w:pPr>
      <w:r>
        <w:rPr>
          <w:rFonts w:ascii="Times New Roman" w:hAnsi="Times New Roman" w:cs="Times New Roman" w:eastAsia="Times New Roman"/>
          <w:b/>
          <w:i w:val="0"/>
          <w:color w:val="000000"/>
          <w:sz w:val="28"/>
        </w:rPr>
        <w:t>Чертеж земельного участка 50:28:0000000:51403</w:t>
      </w:r>
    </w:p>
    <w:p>
      <w:pPr>
        <w:spacing w:line="360" w:lineRule="auto" w:before="0" w:after="0"/>
        <w:ind w:firstLine="709" w:left="0"/>
        <w:jc w:val="both"/>
      </w:pPr>
      <w:r>
        <w:rPr>
          <w:rFonts w:ascii="Times New Roman" w:hAnsi="Times New Roman" w:cs="Times New Roman" w:eastAsia="Times New Roman"/>
          <w:b w:val="0"/>
          <w:i w:val="0"/>
          <w:color w:val="000000"/>
          <w:sz w:val="28"/>
        </w:rPr>
        <w:t>Чертеж построен по каталогу координат межевого плана в системе МСК-50. Красная линия обозначает границу, сведения о которой достаточны для определения ее местоположения. Подписи длин соответствуют ведомости плана и контрольному расчету. Линейный масштаб позволяет пользоваться чертежом при разбивке независимо от масштаба печати страницы.</w:t>
      </w:r>
    </w:p>
    <w:p>
      <w:pPr>
        <w:keepNext/>
        <w:keepLines/>
        <w:spacing w:line="360" w:lineRule="auto" w:before="120" w:after="40"/>
        <w:ind w:firstLine="0" w:left="0"/>
        <w:jc w:val="center"/>
      </w:pPr>
      <w:r>
        <w:drawing>
          <wp:inline xmlns:a="http://schemas.openxmlformats.org/drawingml/2006/main" xmlns:pic="http://schemas.openxmlformats.org/drawingml/2006/picture">
            <wp:extent cx="5760000" cy="6891429"/>
            <wp:docPr id="4" name="Picture 4"/>
            <wp:cNvGraphicFramePr>
              <a:graphicFrameLocks noChangeAspect="1"/>
            </wp:cNvGraphicFramePr>
            <a:graphic>
              <a:graphicData uri="http://schemas.openxmlformats.org/drawingml/2006/picture">
                <pic:pic>
                  <pic:nvPicPr>
                    <pic:cNvPr id="0" name="chertezh.png"/>
                    <pic:cNvPicPr/>
                  </pic:nvPicPr>
                  <pic:blipFill>
                    <a:blip r:embed="rId11"/>
                    <a:stretch>
                      <a:fillRect/>
                    </a:stretch>
                  </pic:blipFill>
                  <pic:spPr>
                    <a:xfrm>
                      <a:off x="0" y="0"/>
                      <a:ext cx="5760000" cy="6891429"/>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В.1 – Разбивочный чертеж участка 50:28:0000000:51403</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ПРИЛОЖЕНИЕ Г</w:t>
      </w:r>
    </w:p>
    <w:p>
      <w:pPr>
        <w:spacing w:line="360" w:lineRule="auto" w:before="0" w:after="160"/>
        <w:ind w:firstLine="0" w:left="0"/>
        <w:jc w:val="center"/>
      </w:pPr>
      <w:r>
        <w:rPr>
          <w:rFonts w:ascii="Times New Roman" w:hAnsi="Times New Roman" w:cs="Times New Roman" w:eastAsia="Times New Roman"/>
          <w:b/>
          <w:i w:val="0"/>
          <w:color w:val="000000"/>
          <w:sz w:val="28"/>
        </w:rPr>
        <w:t>Расчет рыночной стоимости</w:t>
      </w:r>
    </w:p>
    <w:p>
      <w:pPr>
        <w:spacing w:line="360" w:lineRule="auto" w:before="0" w:after="0"/>
        <w:ind w:firstLine="709" w:left="0"/>
        <w:jc w:val="both"/>
      </w:pPr>
      <w:r>
        <w:rPr>
          <w:rFonts w:ascii="Times New Roman" w:hAnsi="Times New Roman" w:cs="Times New Roman" w:eastAsia="Times New Roman"/>
          <w:b w:val="0"/>
          <w:i w:val="0"/>
          <w:color w:val="000000"/>
          <w:sz w:val="28"/>
        </w:rPr>
        <w:t>Дата оценки — 18.10.2026. Подход — сравнительный. Цены аналогов — цены предложения в СНТ «Лайнер-Соломыково». Веса: 0,45; 0,35; 0,20. Округление итога — до 1 000 руб.</w:t>
      </w:r>
    </w:p>
    <w:p>
      <w:pPr>
        <w:spacing w:line="360" w:lineRule="auto" w:before="120" w:after="80"/>
        <w:ind w:firstLine="0" w:left="0"/>
        <w:jc w:val="left"/>
      </w:pPr>
      <w:r>
        <w:rPr>
          <w:rFonts w:ascii="Times New Roman" w:hAnsi="Times New Roman" w:cs="Times New Roman" w:eastAsia="Times New Roman"/>
          <w:b w:val="0"/>
          <w:i w:val="0"/>
          <w:color w:val="000000"/>
          <w:sz w:val="28"/>
        </w:rPr>
        <w:t>Таблица Г.1 – Итог расчета</w:t>
      </w:r>
    </w:p>
    <w:tbl>
      <w:tblPr>
        <w:tblW w:type="dxa" w:w="9639"/>
        <w:jc w:val="center"/>
        <w:tblLayout w:type="fixed"/>
        <w:tblLook w:firstColumn="1" w:firstRow="1" w:lastColumn="0" w:lastRow="0" w:noHBand="0" w:noVBand="1" w:val="04A0"/>
      </w:tblPr>
      <w:tblGrid>
        <w:gridCol w:w="5670"/>
        <w:gridCol w:w="3969"/>
      </w:tblGrid>
      <w:tr>
        <w:trPr>
          <w:cantSplit/>
          <w:tblHeader/>
        </w:trPr>
        <w:tc>
          <w:tcPr>
            <w:tcW w:type="dxa" w:w="5670"/>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Шаг</w:t>
            </w:r>
          </w:p>
        </w:tc>
        <w:tc>
          <w:tcPr>
            <w:tcW w:type="dxa" w:w="3969"/>
            <w:vAlign w:val="center"/>
            <w:tcBorders>
              <w:top w:val="single" w:sz="4" w:space="0" w:color="000000"/>
              <w:left w:val="single" w:sz="4" w:space="0" w:color="000000"/>
              <w:bottom w:val="single" w:sz="4" w:space="0" w:color="000000"/>
              <w:right w:val="single" w:sz="4" w:space="0" w:color="000000"/>
            </w:tcBorders>
            <w:shd w:fill="E8E8E8" w:val="clear"/>
          </w:tcPr>
          <w:p>
            <w:pPr>
              <w:spacing w:line="240" w:lineRule="auto" w:before="0" w:after="0"/>
              <w:ind w:firstLine="0" w:left="0"/>
              <w:jc w:val="center"/>
            </w:pPr>
            <w:r/>
            <w:r>
              <w:rPr>
                <w:rFonts w:ascii="Times New Roman" w:hAnsi="Times New Roman" w:cs="Times New Roman" w:eastAsia="Times New Roman"/>
                <w:b/>
                <w:i w:val="0"/>
                <w:color w:val="000000"/>
                <w:sz w:val="24"/>
              </w:rPr>
              <w:t>Значение</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Скорректированная цена аналога 1</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133 627 руб./сотка</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Скорректированная цена аналога 2</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124 040 руб./сотка</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Скорректированная цена аналога 3</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106 686 руб./сотка</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Взвешенный удельный показатель</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124 884 руб./сотка</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Площадь</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10,05 сотки (1 005 кв. м)</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Произведение до округления</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1 255 079 руб.</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Рыночная стоимость</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1 255 000 руб.</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Удельный показатель</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1 248,76 руб./кв. м</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Кадастровая стоимость</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3 078 864,73 руб.</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Отношение кадастровой к рыночной</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2,45</w:t>
            </w:r>
          </w:p>
        </w:tc>
      </w:tr>
      <w:tr>
        <w:trPr>
          <w:cantSplit/>
        </w:trPr>
        <w:tc>
          <w:tcPr>
            <w:tcW w:type="dxa" w:w="5670"/>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Налог по кадастровой стоимости, 0,15 %</w:t>
            </w:r>
          </w:p>
        </w:tc>
        <w:tc>
          <w:tcPr>
            <w:tcW w:type="dxa" w:w="3969"/>
            <w:vAlign w:val="center"/>
            <w:tcBorders>
              <w:top w:val="single" w:sz="4" w:space="0" w:color="000000"/>
              <w:left w:val="single" w:sz="4" w:space="0" w:color="000000"/>
              <w:bottom w:val="single" w:sz="4" w:space="0" w:color="000000"/>
              <w:right w:val="single" w:sz="4" w:space="0" w:color="000000"/>
            </w:tcBorders>
          </w:tcPr>
          <w:p>
            <w:pPr>
              <w:spacing w:line="240" w:lineRule="auto" w:before="0" w:after="0"/>
              <w:ind w:firstLine="0" w:left="0"/>
              <w:jc w:val="center"/>
            </w:pPr>
            <w:r/>
            <w:r>
              <w:rPr>
                <w:rFonts w:ascii="Times New Roman" w:hAnsi="Times New Roman" w:cs="Times New Roman" w:eastAsia="Times New Roman"/>
                <w:b w:val="0"/>
                <w:i w:val="0"/>
                <w:color w:val="000000"/>
                <w:sz w:val="24"/>
              </w:rPr>
              <w:t>4 618,30 руб./год</w:t>
            </w:r>
          </w:p>
        </w:tc>
      </w:tr>
    </w:tbl>
    <w:p>
      <w:pPr>
        <w:spacing w:line="360" w:lineRule="auto" w:before="0" w:after="0"/>
        <w:ind w:firstLine="709" w:left="0"/>
        <w:jc w:val="both"/>
      </w:pPr>
      <w:r>
        <w:rPr>
          <w:rFonts w:ascii="Times New Roman" w:hAnsi="Times New Roman" w:cs="Times New Roman" w:eastAsia="Times New Roman"/>
          <w:b w:val="0"/>
          <w:i w:val="0"/>
          <w:color w:val="000000"/>
          <w:sz w:val="28"/>
        </w:rPr>
        <w:t>Расчет выполнен в учебных целях. Он показывает порядок применения сведений ЕГРН при оценке и не заменяет отчет оценщика для оспаривания кадастровой стоимости.</w:t>
      </w:r>
    </w:p>
    <w:p>
      <w:r>
        <w:br w:type="page"/>
      </w:r>
    </w:p>
    <w:p>
      <w:pPr>
        <w:spacing w:line="360" w:lineRule="auto" w:before="0" w:after="240"/>
        <w:ind w:firstLine="0" w:left="0"/>
        <w:jc w:val="center"/>
      </w:pPr>
      <w:r>
        <w:rPr>
          <w:rFonts w:ascii="Times New Roman" w:hAnsi="Times New Roman" w:cs="Times New Roman" w:eastAsia="Times New Roman"/>
          <w:b/>
          <w:i w:val="0"/>
          <w:color w:val="000000"/>
          <w:sz w:val="28"/>
        </w:rPr>
        <w:t>ПРИЛОЖЕНИЕ Д</w:t>
      </w:r>
    </w:p>
    <w:p>
      <w:pPr>
        <w:spacing w:line="360" w:lineRule="auto" w:before="0" w:after="120"/>
        <w:ind w:firstLine="0" w:left="0"/>
        <w:jc w:val="center"/>
      </w:pPr>
      <w:r>
        <w:rPr>
          <w:rFonts w:ascii="Times New Roman" w:hAnsi="Times New Roman" w:cs="Times New Roman" w:eastAsia="Times New Roman"/>
          <w:b/>
          <w:i w:val="0"/>
          <w:color w:val="000000"/>
          <w:sz w:val="28"/>
        </w:rPr>
        <w:t>Копии исходных материалов</w:t>
      </w:r>
    </w:p>
    <w:p>
      <w:pPr>
        <w:spacing w:line="360" w:lineRule="auto" w:before="0" w:after="0"/>
        <w:ind w:firstLine="709" w:left="0"/>
        <w:jc w:val="both"/>
      </w:pPr>
      <w:r>
        <w:rPr>
          <w:rFonts w:ascii="Times New Roman" w:hAnsi="Times New Roman" w:cs="Times New Roman" w:eastAsia="Times New Roman"/>
          <w:b w:val="0"/>
          <w:i w:val="0"/>
          <w:color w:val="000000"/>
          <w:sz w:val="28"/>
        </w:rPr>
        <w:t>Ниже приведены копии листов исходного комплекта, на которые опирается основная часть: справочная карточка Росреестра, каталог координат межевого плана, чертеж плана и акт согласования границы. Полный комплект экранов карты НСПД использован при составлении таблицы 2.</w:t>
      </w:r>
    </w:p>
    <w:p>
      <w:pPr>
        <w:keepNext/>
        <w:keepLines/>
        <w:spacing w:line="360" w:lineRule="auto" w:before="120" w:after="40"/>
        <w:ind w:firstLine="0" w:left="0"/>
        <w:jc w:val="center"/>
      </w:pPr>
      <w:r>
        <w:drawing>
          <wp:inline xmlns:a="http://schemas.openxmlformats.org/drawingml/2006/main" xmlns:pic="http://schemas.openxmlformats.org/drawingml/2006/picture">
            <wp:extent cx="5220000" cy="7383589"/>
            <wp:docPr id="5" name="Picture 5"/>
            <wp:cNvGraphicFramePr>
              <a:graphicFrameLocks noChangeAspect="1"/>
            </wp:cNvGraphicFramePr>
            <a:graphic>
              <a:graphicData uri="http://schemas.openxmlformats.org/drawingml/2006/picture">
                <pic:pic>
                  <pic:nvPicPr>
                    <pic:cNvPr id="0" name="page_01.png"/>
                    <pic:cNvPicPr/>
                  </pic:nvPicPr>
                  <pic:blipFill>
                    <a:blip r:embed="rId13"/>
                    <a:stretch>
                      <a:fillRect/>
                    </a:stretch>
                  </pic:blipFill>
                  <pic:spPr>
                    <a:xfrm>
                      <a:off x="0" y="0"/>
                      <a:ext cx="5220000" cy="7383589"/>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Д.1 – Справочная информация Росреестра по участку 50:28:0000000:51403</w:t>
      </w:r>
    </w:p>
    <w:p>
      <w:pPr>
        <w:keepNext/>
        <w:keepLines/>
        <w:spacing w:line="360" w:lineRule="auto" w:before="120" w:after="40"/>
        <w:ind w:firstLine="0" w:left="0"/>
        <w:jc w:val="center"/>
      </w:pPr>
      <w:r>
        <w:drawing>
          <wp:inline xmlns:a="http://schemas.openxmlformats.org/drawingml/2006/main" xmlns:pic="http://schemas.openxmlformats.org/drawingml/2006/picture">
            <wp:extent cx="5220000" cy="7383589"/>
            <wp:docPr id="6" name="Picture 6"/>
            <wp:cNvGraphicFramePr>
              <a:graphicFrameLocks noChangeAspect="1"/>
            </wp:cNvGraphicFramePr>
            <a:graphic>
              <a:graphicData uri="http://schemas.openxmlformats.org/drawingml/2006/picture">
                <pic:pic>
                  <pic:nvPicPr>
                    <pic:cNvPr id="0" name="page_07.png"/>
                    <pic:cNvPicPr/>
                  </pic:nvPicPr>
                  <pic:blipFill>
                    <a:blip r:embed="rId14"/>
                    <a:stretch>
                      <a:fillRect/>
                    </a:stretch>
                  </pic:blipFill>
                  <pic:spPr>
                    <a:xfrm>
                      <a:off x="0" y="0"/>
                      <a:ext cx="5220000" cy="7383589"/>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Д.2 – Каталог координат и длины сторон в межевом плане</w:t>
      </w:r>
    </w:p>
    <w:p>
      <w:pPr>
        <w:keepNext/>
        <w:keepLines/>
        <w:spacing w:line="360" w:lineRule="auto" w:before="120" w:after="40"/>
        <w:ind w:firstLine="0" w:left="0"/>
        <w:jc w:val="center"/>
      </w:pPr>
      <w:r>
        <w:drawing>
          <wp:inline xmlns:a="http://schemas.openxmlformats.org/drawingml/2006/main" xmlns:pic="http://schemas.openxmlformats.org/drawingml/2006/picture">
            <wp:extent cx="5220000" cy="7383589"/>
            <wp:docPr id="7" name="Picture 7"/>
            <wp:cNvGraphicFramePr>
              <a:graphicFrameLocks noChangeAspect="1"/>
            </wp:cNvGraphicFramePr>
            <a:graphic>
              <a:graphicData uri="http://schemas.openxmlformats.org/drawingml/2006/picture">
                <pic:pic>
                  <pic:nvPicPr>
                    <pic:cNvPr id="0" name="page_14.png"/>
                    <pic:cNvPicPr/>
                  </pic:nvPicPr>
                  <pic:blipFill>
                    <a:blip r:embed="rId15"/>
                    <a:stretch>
                      <a:fillRect/>
                    </a:stretch>
                  </pic:blipFill>
                  <pic:spPr>
                    <a:xfrm>
                      <a:off x="0" y="0"/>
                      <a:ext cx="5220000" cy="7383589"/>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Д.3 – Чертеж земельного участка в составе межевого плана, масштаб 1:1 000</w:t>
      </w:r>
    </w:p>
    <w:p>
      <w:pPr>
        <w:keepNext/>
        <w:keepLines/>
        <w:spacing w:line="360" w:lineRule="auto" w:before="120" w:after="40"/>
        <w:ind w:firstLine="0" w:left="0"/>
        <w:jc w:val="center"/>
      </w:pPr>
      <w:r>
        <w:drawing>
          <wp:inline xmlns:a="http://schemas.openxmlformats.org/drawingml/2006/main" xmlns:pic="http://schemas.openxmlformats.org/drawingml/2006/picture">
            <wp:extent cx="5220000" cy="7383589"/>
            <wp:docPr id="8" name="Picture 8"/>
            <wp:cNvGraphicFramePr>
              <a:graphicFrameLocks noChangeAspect="1"/>
            </wp:cNvGraphicFramePr>
            <a:graphic>
              <a:graphicData uri="http://schemas.openxmlformats.org/drawingml/2006/picture">
                <pic:pic>
                  <pic:nvPicPr>
                    <pic:cNvPr id="0" name="page_15.png"/>
                    <pic:cNvPicPr/>
                  </pic:nvPicPr>
                  <pic:blipFill>
                    <a:blip r:embed="rId16"/>
                    <a:stretch>
                      <a:fillRect/>
                    </a:stretch>
                  </pic:blipFill>
                  <pic:spPr>
                    <a:xfrm>
                      <a:off x="0" y="0"/>
                      <a:ext cx="5220000" cy="7383589"/>
                    </a:xfrm>
                    <a:prstGeom prst="rect"/>
                  </pic:spPr>
                </pic:pic>
              </a:graphicData>
            </a:graphic>
          </wp:inline>
        </w:drawing>
      </w:r>
    </w:p>
    <w:p>
      <w:pPr>
        <w:spacing w:line="360" w:lineRule="auto" w:before="80" w:after="160"/>
        <w:ind w:firstLine="0" w:left="0"/>
        <w:jc w:val="center"/>
      </w:pPr>
      <w:r>
        <w:rPr>
          <w:rFonts w:ascii="Times New Roman" w:hAnsi="Times New Roman" w:cs="Times New Roman" w:eastAsia="Times New Roman"/>
          <w:b w:val="0"/>
          <w:i w:val="0"/>
          <w:color w:val="000000"/>
          <w:sz w:val="28"/>
        </w:rPr>
        <w:t>Рисунок Д.4 – Акт согласования местоположения границы</w:t>
      </w:r>
    </w:p>
    <w:sectPr w:rsidR="00FC693F" w:rsidRPr="0006063C" w:rsidSect="00034616">
      <w:headerReference w:type="default" r:id="rId9"/>
      <w:pgSz w:w="11906" w:h="16838"/>
      <w:pgMar w:top="1134" w:right="567"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Pr>
        <w:rFonts w:ascii="Times New Roman" w:hAnsi="Times New Roman" w:cs="Times New Roman" w:eastAsia="Times New Roman"/>
        <w:b w:val="0"/>
        <w:i w:val="0"/>
        <w:color w:val="000000"/>
        <w:sz w:val="28"/>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