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40"/>
        <w:ind w:firstLine="0" w:left="0"/>
        <w:jc w:val="center"/>
      </w:pPr>
      <w:r>
        <w:rPr>
          <w:rFonts w:ascii="Times New Roman" w:hAnsi="Times New Roman" w:cs="Times New Roman" w:eastAsia="Times New Roman"/>
          <w:b/>
          <w:i w:val="0"/>
          <w:color w:val="000000"/>
          <w:sz w:val="28"/>
        </w:rPr>
        <w:t>ОГЛАВЛЕНИЕ</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ПЕРЕЧЕНЬ СОКРАЩЕНИЙ И УСЛОВНЫХ ОБОЗНАЧЕНИЙ</w:t>
        <w:tab/>
        <w:t>2</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ВВЕДЕНИЕ</w:t>
        <w:tab/>
        <w:t>3</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1 ТЕОРЕТИЧЕСКИЕ ОСНОВЫ ЕДИНОГО ГОСУДАРСТВЕННОГО РЕЕСТРА НЕДВИЖИМОСТИ КАК ИНФОРМАЦИОННОГО ОБЕСПЕЧЕНИЯ РЫНКА НЕДВИЖИМОСТИ</w:t>
        <w:tab/>
        <w:t>5</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1.1 Правовая природа, структура и состав сведений ЕГРН</w:t>
        <w:tab/>
        <w:t>5</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1.2 Межевой план как источник сведений о границах, координатах и площади</w:t>
        <w:tab/>
        <w:t>7</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1.3 Сведения ЕГРН при принятии решений на рынке недвижимости</w:t>
        <w:tab/>
        <w:t>11</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2 ОЦЕНКА ПРИГОДНОСТИ СВЕДЕНИЙ ЕГРН НА ПРИМЕРЕ ЗЕМЕЛЬНОГО УЧАСТКА 50:28:0000000:51403</w:t>
        <w:tab/>
        <w:t>14</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2.1 Характеристика объекта оценки по данным ЕГРН, НСПД и межевого плана</w:t>
        <w:tab/>
        <w:t>14</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2.2 Проверка геометрических сведений и разбивка участка</w:t>
        <w:tab/>
        <w:t>18</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2.3 Определение рыночной стоимости и достаточность сведений для сделки</w:t>
        <w:tab/>
        <w:t>23</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3 РЕКОМЕНДАЦИИ ПО ИСПОЛЬЗОВАНИЮ И ПОВЫШЕНИЮ ПРИГОДНОСТИ СВЕДЕНИЙ ЕГРН</w:t>
        <w:tab/>
        <w:t>31</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3.1 Рекомендации применительно к участку 50:28:0000000:51403</w:t>
        <w:tab/>
        <w:t>31</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3.2 Предложения по информационному обеспечению рынка недвижимости</w:t>
        <w:tab/>
        <w:t>33</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ЗАКЛЮЧЕНИЕ</w:t>
        <w:tab/>
        <w:t>36</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СПИСОК ИСПОЛЬЗОВАННЫХ ИСТОЧНИКОВ</w:t>
        <w:tab/>
        <w:t>39</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ПРИЛОЖЕНИЯ</w:t>
        <w:tab/>
        <w:t>44</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А. Сводные сведения об объекте оценки</w:t>
        <w:tab/>
        <w:t>44</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Б. Каталог координат, разбивочная ведомость и расчет площади</w:t>
        <w:tab/>
        <w:t>45</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В. Чертеж земельного участка</w:t>
        <w:tab/>
        <w:t>47</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Г. Расчет рыночной стоимости</w:t>
        <w:tab/>
        <w:t>49</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Д. Копии исходных материалов</w:t>
        <w:tab/>
        <w:t>50</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ПЕРЕЧЕНЬ СОКРАЩЕНИЙ И УСЛОВНЫХ ОБОЗНАЧЕНИЙ</w:t>
      </w:r>
    </w:p>
    <w:p>
      <w:pPr>
        <w:spacing w:line="360" w:lineRule="auto" w:before="0" w:after="0"/>
        <w:ind w:firstLine="0" w:left="0"/>
        <w:jc w:val="left"/>
      </w:pPr>
      <w:r>
        <w:rPr>
          <w:rFonts w:ascii="Times New Roman" w:hAnsi="Times New Roman" w:cs="Times New Roman" w:eastAsia="Times New Roman"/>
          <w:b w:val="0"/>
          <w:i w:val="0"/>
          <w:color w:val="000000"/>
          <w:sz w:val="28"/>
        </w:rPr>
        <w:t>ВРИ — вид разрешенного использования земельного участка.</w:t>
      </w:r>
    </w:p>
    <w:p>
      <w:pPr>
        <w:spacing w:line="360" w:lineRule="auto" w:before="0" w:after="0"/>
        <w:ind w:firstLine="0" w:left="0"/>
        <w:jc w:val="left"/>
      </w:pPr>
      <w:r>
        <w:rPr>
          <w:rFonts w:ascii="Times New Roman" w:hAnsi="Times New Roman" w:cs="Times New Roman" w:eastAsia="Times New Roman"/>
          <w:b w:val="0"/>
          <w:i w:val="0"/>
          <w:color w:val="000000"/>
          <w:sz w:val="28"/>
        </w:rPr>
        <w:t>ГКН — государственный кадастр недвижимости.</w:t>
      </w:r>
    </w:p>
    <w:p>
      <w:pPr>
        <w:spacing w:line="360" w:lineRule="auto" w:before="0" w:after="0"/>
        <w:ind w:firstLine="0" w:left="0"/>
        <w:jc w:val="left"/>
      </w:pPr>
      <w:r>
        <w:rPr>
          <w:rFonts w:ascii="Times New Roman" w:hAnsi="Times New Roman" w:cs="Times New Roman" w:eastAsia="Times New Roman"/>
          <w:b w:val="0"/>
          <w:i w:val="0"/>
          <w:color w:val="000000"/>
          <w:sz w:val="28"/>
        </w:rPr>
        <w:t>ЕГРН — Единый государственный реестр недвижимости.</w:t>
      </w:r>
    </w:p>
    <w:p>
      <w:pPr>
        <w:spacing w:line="360" w:lineRule="auto" w:before="0" w:after="0"/>
        <w:ind w:firstLine="0" w:left="0"/>
        <w:jc w:val="left"/>
      </w:pPr>
      <w:r>
        <w:rPr>
          <w:rFonts w:ascii="Times New Roman" w:hAnsi="Times New Roman" w:cs="Times New Roman" w:eastAsia="Times New Roman"/>
          <w:b w:val="0"/>
          <w:i w:val="0"/>
          <w:color w:val="000000"/>
          <w:sz w:val="28"/>
        </w:rPr>
        <w:t>ЕГРП — Единый государственный реестр прав на недвижимое имущество и сделок с ним.</w:t>
      </w:r>
    </w:p>
    <w:p>
      <w:pPr>
        <w:spacing w:line="360" w:lineRule="auto" w:before="0" w:after="0"/>
        <w:ind w:firstLine="0" w:left="0"/>
        <w:jc w:val="left"/>
      </w:pPr>
      <w:r>
        <w:rPr>
          <w:rFonts w:ascii="Times New Roman" w:hAnsi="Times New Roman" w:cs="Times New Roman" w:eastAsia="Times New Roman"/>
          <w:b w:val="0"/>
          <w:i w:val="0"/>
          <w:color w:val="000000"/>
          <w:sz w:val="28"/>
        </w:rPr>
        <w:t>ЗОУИТ — зона с особыми условиями использования территории.</w:t>
      </w:r>
    </w:p>
    <w:p>
      <w:pPr>
        <w:spacing w:line="360" w:lineRule="auto" w:before="0" w:after="0"/>
        <w:ind w:firstLine="0" w:left="0"/>
        <w:jc w:val="left"/>
      </w:pPr>
      <w:r>
        <w:rPr>
          <w:rFonts w:ascii="Times New Roman" w:hAnsi="Times New Roman" w:cs="Times New Roman" w:eastAsia="Times New Roman"/>
          <w:b w:val="0"/>
          <w:i w:val="0"/>
          <w:color w:val="000000"/>
          <w:sz w:val="28"/>
        </w:rPr>
        <w:t>МКАД — Московская кольцевая автомобильная дорога.</w:t>
      </w:r>
    </w:p>
    <w:p>
      <w:pPr>
        <w:spacing w:line="360" w:lineRule="auto" w:before="0" w:after="0"/>
        <w:ind w:firstLine="0" w:left="0"/>
        <w:jc w:val="left"/>
      </w:pPr>
      <w:r>
        <w:rPr>
          <w:rFonts w:ascii="Times New Roman" w:hAnsi="Times New Roman" w:cs="Times New Roman" w:eastAsia="Times New Roman"/>
          <w:b w:val="0"/>
          <w:i w:val="0"/>
          <w:color w:val="000000"/>
          <w:sz w:val="28"/>
        </w:rPr>
        <w:t>МСК-50 — местная система координат Московской области.</w:t>
      </w:r>
    </w:p>
    <w:p>
      <w:pPr>
        <w:spacing w:line="360" w:lineRule="auto" w:before="0" w:after="0"/>
        <w:ind w:firstLine="0" w:left="0"/>
        <w:jc w:val="left"/>
      </w:pPr>
      <w:r>
        <w:rPr>
          <w:rFonts w:ascii="Times New Roman" w:hAnsi="Times New Roman" w:cs="Times New Roman" w:eastAsia="Times New Roman"/>
          <w:b w:val="0"/>
          <w:i w:val="0"/>
          <w:color w:val="000000"/>
          <w:sz w:val="28"/>
        </w:rPr>
        <w:t>НСПД — Национальная система пространственных данных.</w:t>
      </w:r>
    </w:p>
    <w:p>
      <w:pPr>
        <w:spacing w:line="360" w:lineRule="auto" w:before="0" w:after="0"/>
        <w:ind w:firstLine="0" w:left="0"/>
        <w:jc w:val="left"/>
      </w:pPr>
      <w:r>
        <w:rPr>
          <w:rFonts w:ascii="Times New Roman" w:hAnsi="Times New Roman" w:cs="Times New Roman" w:eastAsia="Times New Roman"/>
          <w:b w:val="0"/>
          <w:i w:val="0"/>
          <w:color w:val="000000"/>
          <w:sz w:val="28"/>
        </w:rPr>
        <w:t>СНТ — садоводческое некоммерческое товарищество.</w:t>
      </w:r>
    </w:p>
    <w:p>
      <w:pPr>
        <w:spacing w:line="360" w:lineRule="auto" w:before="0" w:after="0"/>
        <w:ind w:firstLine="0" w:left="0"/>
        <w:jc w:val="left"/>
      </w:pPr>
      <w:r>
        <w:rPr>
          <w:rFonts w:ascii="Times New Roman" w:hAnsi="Times New Roman" w:cs="Times New Roman" w:eastAsia="Times New Roman"/>
          <w:b w:val="0"/>
          <w:i w:val="0"/>
          <w:color w:val="000000"/>
          <w:sz w:val="28"/>
        </w:rPr>
        <w:t>СРО — саморегулируемая организация.</w:t>
      </w:r>
    </w:p>
    <w:p>
      <w:pPr>
        <w:spacing w:line="360" w:lineRule="auto" w:before="0" w:after="0"/>
        <w:ind w:firstLine="0" w:left="0"/>
        <w:jc w:val="left"/>
      </w:pPr>
      <w:r>
        <w:rPr>
          <w:rFonts w:ascii="Times New Roman" w:hAnsi="Times New Roman" w:cs="Times New Roman" w:eastAsia="Times New Roman"/>
          <w:b w:val="0"/>
          <w:i w:val="0"/>
          <w:color w:val="000000"/>
          <w:sz w:val="28"/>
        </w:rPr>
        <w:t>УПКС — удельный показатель кадастровой стоимости.</w:t>
      </w:r>
    </w:p>
    <w:p>
      <w:pPr>
        <w:spacing w:line="360" w:lineRule="auto" w:before="0" w:after="0"/>
        <w:ind w:firstLine="0" w:left="0"/>
        <w:jc w:val="left"/>
      </w:pPr>
      <w:r>
        <w:rPr>
          <w:rFonts w:ascii="Times New Roman" w:hAnsi="Times New Roman" w:cs="Times New Roman" w:eastAsia="Times New Roman"/>
          <w:b w:val="0"/>
          <w:i w:val="0"/>
          <w:color w:val="000000"/>
          <w:sz w:val="28"/>
        </w:rPr>
        <w:t>ФГИС — федеральная государственная информационная система.</w:t>
      </w:r>
    </w:p>
    <w:p>
      <w:pPr>
        <w:spacing w:line="360" w:lineRule="auto" w:before="0" w:after="0"/>
        <w:ind w:firstLine="0" w:left="0"/>
        <w:jc w:val="left"/>
      </w:pPr>
      <w:r>
        <w:rPr>
          <w:rFonts w:ascii="Times New Roman" w:hAnsi="Times New Roman" w:cs="Times New Roman" w:eastAsia="Times New Roman"/>
          <w:b w:val="0"/>
          <w:i w:val="0"/>
          <w:color w:val="000000"/>
          <w:sz w:val="28"/>
        </w:rPr>
        <w:t>ФСО — федеральный стандарт оценки.</w:t>
      </w:r>
    </w:p>
    <w:p>
      <w:pPr>
        <w:spacing w:line="360" w:lineRule="auto" w:before="0" w:after="0"/>
        <w:ind w:firstLine="0" w:left="0"/>
        <w:jc w:val="left"/>
      </w:pPr>
      <w:r>
        <w:rPr>
          <w:rFonts w:ascii="Times New Roman" w:hAnsi="Times New Roman" w:cs="Times New Roman" w:eastAsia="Times New Roman"/>
          <w:b w:val="0"/>
          <w:i w:val="0"/>
          <w:color w:val="000000"/>
          <w:sz w:val="28"/>
        </w:rPr>
        <w:t>ЦИАН — база объявлений о недвижимости cian.ru.</w:t>
      </w:r>
    </w:p>
    <w:p>
      <w:pPr>
        <w:spacing w:line="360" w:lineRule="auto" w:before="0" w:after="0"/>
        <w:ind w:firstLine="0" w:left="0"/>
        <w:jc w:val="left"/>
      </w:pPr>
      <w:r>
        <w:rPr>
          <w:rFonts w:ascii="Times New Roman" w:hAnsi="Times New Roman" w:cs="Times New Roman" w:eastAsia="Times New Roman"/>
          <w:b w:val="0"/>
          <w:i w:val="0"/>
          <w:color w:val="000000"/>
          <w:sz w:val="28"/>
        </w:rPr>
        <w:t>ЦГиКУ — Центр геодезических и кадастровых услуг.</w:t>
      </w:r>
    </w:p>
    <w:p>
      <w:pPr>
        <w:spacing w:line="360" w:lineRule="auto" w:before="0" w:after="0"/>
        <w:ind w:firstLine="0" w:left="0"/>
        <w:jc w:val="left"/>
      </w:pPr>
      <w:r>
        <w:rPr>
          <w:rFonts w:ascii="Times New Roman" w:hAnsi="Times New Roman" w:cs="Times New Roman" w:eastAsia="Times New Roman"/>
          <w:b w:val="0"/>
          <w:i w:val="0"/>
          <w:color w:val="000000"/>
          <w:sz w:val="28"/>
        </w:rPr>
        <w:t>X, Y — прямоугольные координаты характерной точки в МСК-50, метры (X — север, Y — восток).</w:t>
      </w:r>
    </w:p>
    <w:p>
      <w:pPr>
        <w:spacing w:line="360" w:lineRule="auto" w:before="0" w:after="0"/>
        <w:ind w:firstLine="0" w:left="0"/>
        <w:jc w:val="left"/>
      </w:pPr>
      <w:r>
        <w:rPr>
          <w:rFonts w:ascii="Times New Roman" w:hAnsi="Times New Roman" w:cs="Times New Roman" w:eastAsia="Times New Roman"/>
          <w:b w:val="0"/>
          <w:i w:val="0"/>
          <w:color w:val="000000"/>
          <w:sz w:val="28"/>
        </w:rPr>
        <w:t>Mt — средняя квадратическая погрешность положения характерной точки границы, метры.</w:t>
      </w:r>
    </w:p>
    <w:p>
      <w:pPr>
        <w:spacing w:line="360" w:lineRule="auto" w:before="0" w:after="0"/>
        <w:ind w:firstLine="0" w:left="0"/>
        <w:jc w:val="left"/>
      </w:pPr>
      <w:r>
        <w:rPr>
          <w:rFonts w:ascii="Times New Roman" w:hAnsi="Times New Roman" w:cs="Times New Roman" w:eastAsia="Times New Roman"/>
          <w:b w:val="0"/>
          <w:i w:val="0"/>
          <w:color w:val="000000"/>
          <w:sz w:val="28"/>
        </w:rPr>
        <w:t>ΔP — предельная допустимая погрешность определения площади, квадратные метры.</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ВВЕДЕНИЕ</w:t>
      </w:r>
    </w:p>
    <w:p>
      <w:pPr>
        <w:spacing w:line="360" w:lineRule="auto" w:before="0" w:after="0"/>
        <w:ind w:firstLine="709" w:left="0"/>
        <w:jc w:val="both"/>
      </w:pPr>
      <w:r>
        <w:rPr>
          <w:rFonts w:ascii="Times New Roman" w:hAnsi="Times New Roman" w:cs="Times New Roman" w:eastAsia="Times New Roman"/>
          <w:b w:val="0"/>
          <w:i w:val="0"/>
          <w:color w:val="000000"/>
          <w:sz w:val="28"/>
        </w:rPr>
        <w:t>Сделка с земельным участком опирается на сведения, по которым стороны опознают объект, проверяют право и считают налог. В Российской Федерации эти сведения собраны в Едином государственном реестре недвижимости. С 1 января 2017 года ЕГРН соединил государственный кадастр недвижимости и Единый государственный реестр прав [2].</w:t>
      </w:r>
    </w:p>
    <w:p>
      <w:pPr>
        <w:spacing w:line="360" w:lineRule="auto" w:before="0" w:after="0"/>
        <w:ind w:firstLine="709" w:left="0"/>
        <w:jc w:val="both"/>
      </w:pPr>
      <w:r>
        <w:rPr>
          <w:rFonts w:ascii="Times New Roman" w:hAnsi="Times New Roman" w:cs="Times New Roman" w:eastAsia="Times New Roman"/>
          <w:b w:val="0"/>
          <w:i w:val="0"/>
          <w:color w:val="000000"/>
          <w:sz w:val="28"/>
        </w:rPr>
        <w:t>Актуальность темы связана с тем, что открытую карточку реестра часто читают как полную выписку, а кадастровую стоимость — как цену участка. Для садового участка в Московской области от этого зависят и ожидания сторон по договору, и земельный налог. Отдельно стоит вопрос о границе: по сообщению, опубликованному 28 февраля 2025 года, в ЕГРН учтено 60,9 млн земельных участков, и только 43,5 млн из них, или 71,5 процента, имеют координатное описание границ [33]. Участок без такого описания плохо индивидуализируется на местности. Проверить, какие сведения реестра действительно пригодны для рынка, можно на конкретном объекте, по которому есть и публичная карточка, и межевой план.</w:t>
      </w:r>
    </w:p>
    <w:p>
      <w:pPr>
        <w:spacing w:line="360" w:lineRule="auto" w:before="0" w:after="0"/>
        <w:ind w:firstLine="709" w:left="0"/>
        <w:jc w:val="both"/>
      </w:pPr>
      <w:r>
        <w:rPr>
          <w:rFonts w:ascii="Times New Roman" w:hAnsi="Times New Roman" w:cs="Times New Roman" w:eastAsia="Times New Roman"/>
          <w:b w:val="0"/>
          <w:i w:val="0"/>
          <w:color w:val="000000"/>
          <w:sz w:val="28"/>
        </w:rPr>
        <w:t>Цель работы — оценить пригодность сведений ЕГРН как информационного обеспечения рынка недвижимости на примере земельного участка 50:28:0000000:51403.</w:t>
      </w:r>
    </w:p>
    <w:p>
      <w:pPr>
        <w:spacing w:line="360" w:lineRule="auto" w:before="0" w:after="0"/>
        <w:ind w:firstLine="709" w:left="0"/>
        <w:jc w:val="both"/>
      </w:pPr>
      <w:r>
        <w:rPr>
          <w:rFonts w:ascii="Times New Roman" w:hAnsi="Times New Roman" w:cs="Times New Roman" w:eastAsia="Times New Roman"/>
          <w:b w:val="0"/>
          <w:i w:val="0"/>
          <w:color w:val="000000"/>
          <w:sz w:val="28"/>
        </w:rPr>
        <w:t>Объект исследования — ЕГРН в том составе сведений, которым пользуется рынок. Предмет — пригодность сведений о границах, площади, правах и кадастровой стоимости для решений по сделке, налогу и разбивке. Пример — земельный участок 50:28:0000000:51403, адрес по карточке Росреестра: Московская область, г. о. Домодедово, тер. СНТ «Ветеран-5», з/у 7 [29].</w:t>
      </w:r>
    </w:p>
    <w:p>
      <w:pPr>
        <w:spacing w:line="360" w:lineRule="auto" w:before="0" w:after="0"/>
        <w:ind w:firstLine="709" w:left="0"/>
        <w:jc w:val="both"/>
      </w:pPr>
      <w:r>
        <w:rPr>
          <w:rFonts w:ascii="Times New Roman" w:hAnsi="Times New Roman" w:cs="Times New Roman" w:eastAsia="Times New Roman"/>
          <w:b w:val="0"/>
          <w:i w:val="0"/>
          <w:color w:val="000000"/>
          <w:sz w:val="28"/>
        </w:rPr>
        <w:t>Задачи работы:</w:t>
      </w:r>
    </w:p>
    <w:p>
      <w:pPr>
        <w:spacing w:line="360" w:lineRule="auto" w:before="0" w:after="0"/>
        <w:ind w:firstLine="709" w:left="0"/>
        <w:jc w:val="both"/>
      </w:pPr>
      <w:r>
        <w:rPr>
          <w:rFonts w:ascii="Times New Roman" w:hAnsi="Times New Roman" w:cs="Times New Roman" w:eastAsia="Times New Roman"/>
          <w:b w:val="0"/>
          <w:i w:val="0"/>
          <w:color w:val="000000"/>
          <w:sz w:val="28"/>
        </w:rPr>
        <w:t>1) раскрыть правовую основу ЕГРН, его состав и место среди других источников информации о рынке;</w:t>
      </w:r>
    </w:p>
    <w:p>
      <w:pPr>
        <w:spacing w:line="360" w:lineRule="auto" w:before="0" w:after="0"/>
        <w:ind w:firstLine="709" w:left="0"/>
        <w:jc w:val="both"/>
      </w:pPr>
      <w:r>
        <w:rPr>
          <w:rFonts w:ascii="Times New Roman" w:hAnsi="Times New Roman" w:cs="Times New Roman" w:eastAsia="Times New Roman"/>
          <w:b w:val="0"/>
          <w:i w:val="0"/>
          <w:color w:val="000000"/>
          <w:sz w:val="28"/>
        </w:rPr>
        <w:t>2) показать, как межевой план передает в реестр сведения о границе, координатах и площади, и с чем сравнивается погрешность точки;</w:t>
      </w:r>
    </w:p>
    <w:p>
      <w:pPr>
        <w:spacing w:line="360" w:lineRule="auto" w:before="0" w:after="0"/>
        <w:ind w:firstLine="709" w:left="0"/>
        <w:jc w:val="both"/>
      </w:pPr>
      <w:r>
        <w:rPr>
          <w:rFonts w:ascii="Times New Roman" w:hAnsi="Times New Roman" w:cs="Times New Roman" w:eastAsia="Times New Roman"/>
          <w:b w:val="0"/>
          <w:i w:val="0"/>
          <w:color w:val="000000"/>
          <w:sz w:val="28"/>
        </w:rPr>
        <w:t>3) определить, какие решения на рынке могут опираться на сведения ЕГРН и где эти сведения заканчиваются;</w:t>
      </w:r>
    </w:p>
    <w:p>
      <w:pPr>
        <w:spacing w:line="360" w:lineRule="auto" w:before="0" w:after="0"/>
        <w:ind w:firstLine="709" w:left="0"/>
        <w:jc w:val="both"/>
      </w:pPr>
      <w:r>
        <w:rPr>
          <w:rFonts w:ascii="Times New Roman" w:hAnsi="Times New Roman" w:cs="Times New Roman" w:eastAsia="Times New Roman"/>
          <w:b w:val="0"/>
          <w:i w:val="0"/>
          <w:color w:val="000000"/>
          <w:sz w:val="28"/>
        </w:rPr>
        <w:t>4) сопоставить карточку Росреестра, карточку НСПД и межевой план выбранного участка и проверить геометрию контура;</w:t>
      </w:r>
    </w:p>
    <w:p>
      <w:pPr>
        <w:spacing w:line="360" w:lineRule="auto" w:before="0" w:after="0"/>
        <w:ind w:firstLine="709" w:left="0"/>
        <w:jc w:val="both"/>
      </w:pPr>
      <w:r>
        <w:rPr>
          <w:rFonts w:ascii="Times New Roman" w:hAnsi="Times New Roman" w:cs="Times New Roman" w:eastAsia="Times New Roman"/>
          <w:b w:val="0"/>
          <w:i w:val="0"/>
          <w:color w:val="000000"/>
          <w:sz w:val="28"/>
        </w:rPr>
        <w:t>5) рассчитать рыночную стоимость сравнительным подходом как контрольный показатель: он нужен не сам по себе, а чтобы проверить, заменяет ли кадастровая стоимость цену сделки;</w:t>
      </w:r>
    </w:p>
    <w:p>
      <w:pPr>
        <w:spacing w:line="360" w:lineRule="auto" w:before="0" w:after="0"/>
        <w:ind w:firstLine="709" w:left="0"/>
        <w:jc w:val="both"/>
      </w:pPr>
      <w:r>
        <w:rPr>
          <w:rFonts w:ascii="Times New Roman" w:hAnsi="Times New Roman" w:cs="Times New Roman" w:eastAsia="Times New Roman"/>
          <w:b w:val="0"/>
          <w:i w:val="0"/>
          <w:color w:val="000000"/>
          <w:sz w:val="28"/>
        </w:rPr>
        <w:t>6) сформулировать рекомендации по использованию сведений ЕГРН при возможной сделке с этим участком и по показу сведений в открытых сервисах.</w:t>
      </w:r>
    </w:p>
    <w:p>
      <w:pPr>
        <w:spacing w:line="360" w:lineRule="auto" w:before="0" w:after="0"/>
        <w:ind w:firstLine="709" w:left="0"/>
        <w:jc w:val="both"/>
      </w:pPr>
      <w:r>
        <w:rPr>
          <w:rFonts w:ascii="Times New Roman" w:hAnsi="Times New Roman" w:cs="Times New Roman" w:eastAsia="Times New Roman"/>
          <w:b w:val="0"/>
          <w:i w:val="0"/>
          <w:color w:val="000000"/>
          <w:sz w:val="28"/>
        </w:rPr>
        <w:t>Методы: сопоставление нормативных актов и сведений трех источников по одному участку, контрольный расчет координат, длин, площади и погрешности, сравнительный подход к стоимости [6; 11; 16; 21]. Информационная база делится на нормативные акты, литературу и интернет-ресурсы. Нормативные акты взяты в редакции, применяемой в 2026 году. Литература — отечественные и зарубежные работы 2021–2024 годов; изданий 2025–2026 годов в списке нет. Фактические сведения получены 18.10.2026 запросом публичного сервиса Росреестра (карточка обновлена 28.09.2026) [29], просмотром карточки и карты НСПД [30] и разбором межевого плана от 09.09.2015 [31]. Цены аналогов взяты из объявлений ЦИАН 19.10.2026 [32]. Отмененные акты в список не включались.</w:t>
      </w:r>
    </w:p>
    <w:p>
      <w:pPr>
        <w:spacing w:line="360" w:lineRule="auto" w:before="0" w:after="0"/>
        <w:ind w:firstLine="709" w:left="0"/>
        <w:jc w:val="both"/>
      </w:pPr>
      <w:r>
        <w:rPr>
          <w:rFonts w:ascii="Times New Roman" w:hAnsi="Times New Roman" w:cs="Times New Roman" w:eastAsia="Times New Roman"/>
          <w:b w:val="0"/>
          <w:i w:val="0"/>
          <w:color w:val="000000"/>
          <w:sz w:val="28"/>
        </w:rPr>
        <w:t>Практическая значимость состоит в том, что по одному участку разделены сведения, которые можно переносить в договор и в расчет налога, и сведения, которых в открытом реестре нет. Расчет стоимости учебный: он показывает порядок сравнения, а не заменяет отчет оценщика.</w:t>
      </w:r>
    </w:p>
    <w:p>
      <w:pPr>
        <w:spacing w:line="360" w:lineRule="auto" w:before="0" w:after="0"/>
        <w:ind w:firstLine="709" w:left="0"/>
        <w:jc w:val="both"/>
      </w:pPr>
      <w:r>
        <w:rPr>
          <w:rFonts w:ascii="Times New Roman" w:hAnsi="Times New Roman" w:cs="Times New Roman" w:eastAsia="Times New Roman"/>
          <w:b w:val="0"/>
          <w:i w:val="0"/>
          <w:color w:val="000000"/>
          <w:sz w:val="28"/>
        </w:rPr>
        <w:t>Работа состоит из введения, трех глав, заключения, списка источников и приложений. В первой главе разобраны состав ЕГРН, межевой план и пределы использования сведений на рынке. Во второй главе те же вопросы проверены на участке 50:28:0000000:51403. В третьей главе даны рекомендации по сделке с этим участком и по показу сведений в открытых сервисах.</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1 ТЕОРЕТИЧЕСКИЕ ОСНОВЫ ЕДИНОГО ГОСУДАРСТВЕННОГО РЕЕСТРА НЕДВИЖИМОСТИ КАК ИНФОРМАЦИОННОГО ОБЕСПЕЧЕНИЯ РЫНКА НЕДВИЖИМОСТИ</w:t>
      </w:r>
    </w:p>
    <w:p>
      <w:pPr>
        <w:spacing w:line="360" w:lineRule="auto" w:before="240" w:after="240"/>
        <w:ind w:firstLine="0" w:left="0"/>
        <w:jc w:val="center"/>
      </w:pPr>
      <w:r>
        <w:rPr>
          <w:rFonts w:ascii="Times New Roman" w:hAnsi="Times New Roman" w:cs="Times New Roman" w:eastAsia="Times New Roman"/>
          <w:b/>
          <w:i w:val="0"/>
          <w:color w:val="000000"/>
          <w:sz w:val="28"/>
        </w:rPr>
        <w:t>1.1 Правовая природа, структура и состав сведений ЕГРН</w:t>
      </w:r>
    </w:p>
    <w:p>
      <w:pPr>
        <w:spacing w:line="360" w:lineRule="auto" w:before="0" w:after="0"/>
        <w:ind w:firstLine="709" w:left="0"/>
        <w:jc w:val="both"/>
      </w:pPr>
      <w:r>
        <w:rPr>
          <w:rFonts w:ascii="Times New Roman" w:hAnsi="Times New Roman" w:cs="Times New Roman" w:eastAsia="Times New Roman"/>
          <w:b w:val="0"/>
          <w:i w:val="0"/>
          <w:color w:val="000000"/>
          <w:sz w:val="28"/>
        </w:rPr>
        <w:t>Информационное обеспечение рынка недвижимости — это совокупность сведений, по которым участник оборота опознает объект, проверяет право и ограничения, понимает правовой режим и отделяет налоговую величину от цены. ЕГРН занимает в этой совокупности центральное место, но не закрывает ее целиком. Рядом с ним стоят государственная кадастровая оценка, ФГИС ЕГРН как способ ведения реестра, портал НСПД как способ показать пространственные данные, коммерческие базы объявлений и статистика цен. Без такого разделения легко принять карточку реестра за весь набор сведений о сделке.</w:t>
      </w:r>
    </w:p>
    <w:p>
      <w:pPr>
        <w:spacing w:line="360" w:lineRule="auto" w:before="0" w:after="0"/>
        <w:ind w:firstLine="709" w:left="0"/>
        <w:jc w:val="both"/>
      </w:pPr>
      <w:r>
        <w:rPr>
          <w:rFonts w:ascii="Times New Roman" w:hAnsi="Times New Roman" w:cs="Times New Roman" w:eastAsia="Times New Roman"/>
          <w:b w:val="0"/>
          <w:i w:val="0"/>
          <w:color w:val="000000"/>
          <w:sz w:val="28"/>
        </w:rPr>
        <w:t>К недвижимому имуществу закон относит земельные участки и объекты, прочно связанные с землей. Право собственности и другие вещные права, их ограничения, возникновение, переход и прекращение регистрируются в случаях, указанных в законе [2]. Если характеристика или право в реестр не внесены, опираться на них в договоре нельзя, даже когда продавец о них знает. Запись достоверна, когда сведения полные, актуальные и согласованы между собой, а не просто выведены на экран [17].</w:t>
      </w:r>
    </w:p>
    <w:p>
      <w:pPr>
        <w:spacing w:line="360" w:lineRule="auto" w:before="0" w:after="0"/>
        <w:ind w:firstLine="709" w:left="0"/>
        <w:jc w:val="both"/>
      </w:pPr>
      <w:r>
        <w:rPr>
          <w:rFonts w:ascii="Times New Roman" w:hAnsi="Times New Roman" w:cs="Times New Roman" w:eastAsia="Times New Roman"/>
          <w:b w:val="0"/>
          <w:i w:val="0"/>
          <w:color w:val="000000"/>
          <w:sz w:val="28"/>
        </w:rPr>
        <w:t>ЕГРН — свод достоверных систематизированных сведений об учтенном недвижимом имуществе, о зарегистрированных правах, об основаниях их возникновения, о правообладателях и об иных сведениях, предусмотренных федеральным законом [2]. Реестр ведется на русском языке, на электронных носителях, во ФГИС ЕГРН. До 1 января 2017 года учет объектов вел государственный кадастр недвижимости, а регистрацию прав — ЕГРП. Это были две системы: участок мог быть описан в ГКН, а право подтверждалось отдельно. Объединение сократило число таких случаев, но качество записи по-прежнему зависит от исходных документов [14]. Для покупателя описание объекта и запись о праве — связанные сведения одного реестра [2; 15].</w:t>
      </w:r>
    </w:p>
    <w:p>
      <w:pPr>
        <w:spacing w:line="360" w:lineRule="auto" w:before="0" w:after="0"/>
        <w:ind w:firstLine="709" w:left="0"/>
        <w:jc w:val="both"/>
      </w:pPr>
      <w:r>
        <w:rPr>
          <w:rFonts w:ascii="Times New Roman" w:hAnsi="Times New Roman" w:cs="Times New Roman" w:eastAsia="Times New Roman"/>
          <w:b w:val="0"/>
          <w:i w:val="0"/>
          <w:color w:val="000000"/>
          <w:sz w:val="28"/>
        </w:rPr>
        <w:t>По статье 7 Федерального закона № 218-ФЗ в состав ЕГРН входят реестр объектов недвижимости, реестр прав, ограничений прав и обременений, реестр границ, реестровые дела, кадастровые карты и книги учета документов [2]. В реестре объектов лежат характеристики участка. В реестре прав — правообладатель и ограничения права. Реестр границ хранит сведения о зонах с особыми условиями использования территории, территориальных зонах, границах населенных пунктов и иных границах, которые закон относит к этому реестру. Для садового участка это прямой вопрос режима использования и цены: пересечение со смежным участком на карте не заменяет запись реестра границ. Кадастровая карта показывает положение объекта. В реестровом деле хранятся документы-основания, среди них межевой план. Карта без записи о праве не подтверждает собственность, а запись о праве без координат не дает вынести границу на местность [15].</w:t>
      </w:r>
    </w:p>
    <w:p>
      <w:pPr>
        <w:spacing w:line="360" w:lineRule="auto" w:before="0" w:after="0"/>
        <w:ind w:firstLine="709" w:left="0"/>
        <w:jc w:val="both"/>
      </w:pPr>
      <w:r>
        <w:rPr>
          <w:rFonts w:ascii="Times New Roman" w:hAnsi="Times New Roman" w:cs="Times New Roman" w:eastAsia="Times New Roman"/>
          <w:b w:val="0"/>
          <w:i w:val="0"/>
          <w:color w:val="000000"/>
          <w:sz w:val="28"/>
        </w:rPr>
        <w:t>Публичный показ пространственных сведений связан с государственной программой «Национальная система пространственных данных», утвержденной постановлением Правительства РФ от 01.12.2021 № 2148 [7]. НСПД не заменяет ЕГРН и не создает вторую запись о праве. Через нее пользователь видит карту, карточку объекта и часть сведений реестра. В практической части карточка НСПД поэтому сравнивается с карточкой Росреестра, а не принимается за самостоятельный правоустанавливающий документ.</w:t>
      </w:r>
    </w:p>
    <w:p>
      <w:pPr>
        <w:spacing w:line="360" w:lineRule="auto" w:before="0" w:after="0"/>
        <w:ind w:firstLine="709" w:left="0"/>
        <w:jc w:val="both"/>
      </w:pPr>
      <w:r>
        <w:rPr>
          <w:rFonts w:ascii="Times New Roman" w:hAnsi="Times New Roman" w:cs="Times New Roman" w:eastAsia="Times New Roman"/>
          <w:b w:val="0"/>
          <w:i w:val="0"/>
          <w:color w:val="000000"/>
          <w:sz w:val="28"/>
        </w:rPr>
        <w:t>В отношении земельного участка реестр указывает вид объекта, кадастровый номер, описание местоположения границ, площадь, категорию земель, вид разрешенного использования, адрес, кадастровую стоимость, сведения о природных объектах в границах участка, о частях и об обременениях, если они относятся к части [2]. Категория и вид использования задают правовой режим. Площадь и границы задают предмет сделки. Кадастровая стоимость задает налоговую базу и не заменяет цену. Полнота этого набора неравномерна. По сообщению от 28 февраля 2025 года, координатное описание границ имеют 43,5 млн участков из 60,9 млн, то есть около 28,5 процента участков такого описания не имеют [33]. По многим объектам в открытом просмотре нет и сведений о правообладателе [18].</w:t>
      </w:r>
    </w:p>
    <w:p>
      <w:pPr>
        <w:spacing w:line="360" w:lineRule="auto" w:before="0" w:after="0"/>
        <w:ind w:firstLine="709" w:left="0"/>
        <w:jc w:val="both"/>
      </w:pPr>
      <w:r>
        <w:rPr>
          <w:rFonts w:ascii="Times New Roman" w:hAnsi="Times New Roman" w:cs="Times New Roman" w:eastAsia="Times New Roman"/>
          <w:b w:val="0"/>
          <w:i w:val="0"/>
          <w:color w:val="000000"/>
          <w:sz w:val="28"/>
        </w:rPr>
        <w:t>Кадастровый номер — неизменяемый идентификатор объекта. Он складывается из кода субъекта, номера кадастрового района, номера квартала и номера объекта и не заменяется адресом: адрес меняется вместе с муниципальным устройством, номер сохраняется. У ранее учтенных участков в номере встречается нулевой квартал. Пространственный квартал тогда виден только на карте или в выписке. На поиске объекта это сказывается прямо: покупатель не выведет квартал из самого номера.</w:t>
      </w:r>
    </w:p>
    <w:p>
      <w:pPr>
        <w:spacing w:line="360" w:lineRule="auto" w:before="0" w:after="0"/>
        <w:ind w:firstLine="709" w:left="0"/>
        <w:jc w:val="both"/>
      </w:pPr>
      <w:r>
        <w:rPr>
          <w:rFonts w:ascii="Times New Roman" w:hAnsi="Times New Roman" w:cs="Times New Roman" w:eastAsia="Times New Roman"/>
          <w:b w:val="0"/>
          <w:i w:val="0"/>
          <w:color w:val="000000"/>
          <w:sz w:val="28"/>
        </w:rPr>
        <w:t>Сведения ЕГРН являются общедоступными, если законом не установлено иное. Персональные данные правообладателя в открытый просмотр без запроса не выносятся в том же объеме, в каком они содержатся в выписке, выдаваемой заинтересованному лицу. Поэтому просмотр участка на карте и получение сведений, достаточных для договора, представляют собой разные действия. Статья 62 Федерального закона № 218-ФЗ определяет порядок предоставления сведений. Выписка об основных характеристиках и зарегистрированных правах, выписка о переходе прав на объект и выписка о кадастровой стоимости закрывают разные вопросы. Срок предоставления по общему правилу составляет три рабочих дня со дня получения запроса органом регистрации прав [2].</w:t>
      </w:r>
    </w:p>
    <w:p>
      <w:pPr>
        <w:spacing w:line="360" w:lineRule="auto" w:before="0" w:after="0"/>
        <w:ind w:firstLine="709" w:left="0"/>
        <w:jc w:val="both"/>
      </w:pPr>
      <w:r>
        <w:rPr>
          <w:rFonts w:ascii="Times New Roman" w:hAnsi="Times New Roman" w:cs="Times New Roman" w:eastAsia="Times New Roman"/>
          <w:b w:val="0"/>
          <w:i w:val="0"/>
          <w:color w:val="000000"/>
          <w:sz w:val="28"/>
        </w:rPr>
        <w:t>Открытая справочная карточка формируется из сведений ЕГРН, но не заменяет выписку. Она удобна для предварительного отбора объекта и недостаточна как доказательство отсутствия ареста, ипотеки или спора: состав экрана сокращен, а дата его обновления может отставать от реестра.</w:t>
      </w:r>
    </w:p>
    <w:p>
      <w:pPr>
        <w:spacing w:line="360" w:lineRule="auto" w:before="240" w:after="240"/>
        <w:ind w:firstLine="0" w:left="0"/>
        <w:jc w:val="center"/>
      </w:pPr>
      <w:r>
        <w:rPr>
          <w:rFonts w:ascii="Times New Roman" w:hAnsi="Times New Roman" w:cs="Times New Roman" w:eastAsia="Times New Roman"/>
          <w:b/>
          <w:i w:val="0"/>
          <w:color w:val="000000"/>
          <w:sz w:val="28"/>
        </w:rPr>
        <w:t>1.2 Межевой план как источник сведений о границах, координатах и площади</w:t>
      </w:r>
    </w:p>
    <w:p>
      <w:pPr>
        <w:spacing w:line="360" w:lineRule="auto" w:before="0" w:after="0"/>
        <w:ind w:firstLine="709" w:left="0"/>
        <w:jc w:val="both"/>
      </w:pPr>
      <w:r>
        <w:rPr>
          <w:rFonts w:ascii="Times New Roman" w:hAnsi="Times New Roman" w:cs="Times New Roman" w:eastAsia="Times New Roman"/>
          <w:b w:val="0"/>
          <w:i w:val="0"/>
          <w:color w:val="000000"/>
          <w:sz w:val="28"/>
        </w:rPr>
        <w:t>Граница земельного участка в реестре — это список координат характерных точек, между которыми проходят части границы, а не линия, проведенная по аэрофотоснимку. Пока координат нет, площадь может быть указана по правоустанавливающему документу как декларированная, а контур на публичной карте либо отсутствует, либо показан ориентировочно. Внести координаты можно по результатам кадастровых работ. Документом, который передает результат этих работ в орган регистрации, является межевой план [2; 3].</w:t>
      </w:r>
    </w:p>
    <w:p>
      <w:pPr>
        <w:spacing w:line="360" w:lineRule="auto" w:before="0" w:after="0"/>
        <w:ind w:firstLine="709" w:left="0"/>
        <w:jc w:val="both"/>
      </w:pPr>
      <w:r>
        <w:rPr>
          <w:rFonts w:ascii="Times New Roman" w:hAnsi="Times New Roman" w:cs="Times New Roman" w:eastAsia="Times New Roman"/>
          <w:b w:val="0"/>
          <w:i w:val="0"/>
          <w:color w:val="000000"/>
          <w:sz w:val="28"/>
        </w:rPr>
        <w:t>Межевой план составляется кадастровым инженером на основе кадастрового плана территории или выписки из ЕГРН. В нем воспроизводятся уже внесенные в реестр сведения и указываются новые сведения, необходимые для учета: об образуемом участке, о части участка либо об уточняемом местоположении границы [2; 15]. Кадастровый инженер несет ответственность за достоверность внесенных в план сведений. Для рынка это означает, что качество границы в ЕГРН не выше качества измерений, исходных документов и согласования, которые легли в межевой план.</w:t>
      </w:r>
    </w:p>
    <w:p>
      <w:pPr>
        <w:spacing w:line="360" w:lineRule="auto" w:before="0" w:after="0"/>
        <w:ind w:firstLine="709" w:left="0"/>
        <w:jc w:val="both"/>
      </w:pPr>
      <w:r>
        <w:rPr>
          <w:rFonts w:ascii="Times New Roman" w:hAnsi="Times New Roman" w:cs="Times New Roman" w:eastAsia="Times New Roman"/>
          <w:b w:val="0"/>
          <w:i w:val="0"/>
          <w:color w:val="000000"/>
          <w:sz w:val="28"/>
        </w:rPr>
        <w:t>Форма плана менялась вместе с законодательством. План от 09.09.2015 составлен по форме, действовавшей на дату работ, в период применения Федерального закона № 221-ФЗ [3]. Эта форма впоследствии утратила силу, поэтому в список источников она не включается. Действующие форма и требования утверждены приказом Росреестра от 14.12.2021 № П/0592 [8]. Уже внесенные сведения смена формы не отменяет. Новый план, если границу потребуется уточнять снова, готовится по действующему приказу.</w:t>
      </w:r>
    </w:p>
    <w:p>
      <w:pPr>
        <w:spacing w:line="360" w:lineRule="auto" w:before="0" w:after="0"/>
        <w:ind w:firstLine="709" w:left="0"/>
        <w:jc w:val="both"/>
      </w:pPr>
      <w:r>
        <w:rPr>
          <w:rFonts w:ascii="Times New Roman" w:hAnsi="Times New Roman" w:cs="Times New Roman" w:eastAsia="Times New Roman"/>
          <w:b w:val="0"/>
          <w:i w:val="0"/>
          <w:color w:val="000000"/>
          <w:sz w:val="28"/>
        </w:rPr>
        <w:t>Текстовая часть плана уточнения границы содержит исходные данные, геодезическую основу, метод и точность координат, каталог точек, длины частей границы, смежества и заключение кадастрового инженера. Графическая часть содержит схему построений, схему расположения и чертеж участка [8]. Акт согласования границы обязателен, когда уточнение затрагивает смежные землепользования [3].</w:t>
      </w:r>
    </w:p>
    <w:p>
      <w:pPr>
        <w:spacing w:line="360" w:lineRule="auto" w:before="0" w:after="0"/>
        <w:ind w:firstLine="709" w:left="0"/>
        <w:jc w:val="both"/>
      </w:pPr>
      <w:r>
        <w:rPr>
          <w:rFonts w:ascii="Times New Roman" w:hAnsi="Times New Roman" w:cs="Times New Roman" w:eastAsia="Times New Roman"/>
          <w:b w:val="0"/>
          <w:i w:val="0"/>
          <w:color w:val="000000"/>
          <w:sz w:val="28"/>
        </w:rPr>
        <w:t>В ЕГРН переходит результат плана: координаты, их погрешность, площадь, допуск площади и описание смежеств. Журнал измерений, сведения о приборе и акт согласования остаются в межевом плане и в реестровом деле. Публичная карточка показывает площадь и, через карту, контур. Каталог координат, без которого границу нельзя вынести на местность, виден в выписке и в самом плане. Для купли-продажи достаточно согласованности площади, контура и записи о праве. Для разбивки и для спора о заборе нужен каталог.</w:t>
      </w:r>
    </w:p>
    <w:p>
      <w:pPr>
        <w:spacing w:line="360" w:lineRule="auto" w:before="0" w:after="0"/>
        <w:ind w:firstLine="709" w:left="0"/>
        <w:jc w:val="both"/>
      </w:pPr>
      <w:r>
        <w:rPr>
          <w:rFonts w:ascii="Times New Roman" w:hAnsi="Times New Roman" w:cs="Times New Roman" w:eastAsia="Times New Roman"/>
          <w:b w:val="0"/>
          <w:i w:val="0"/>
          <w:color w:val="000000"/>
          <w:sz w:val="28"/>
        </w:rPr>
        <w:t>Точность положения характерной точки при спутниковых измерениях оценивается средней квадратической погрешностью. В плане 2015 года применена формула сложения независимых погрешностей спутникового определения и закрепления межевого знака:</w:t>
      </w:r>
    </w:p>
    <w:p>
      <w:pPr>
        <w:spacing w:line="360" w:lineRule="auto" w:before="120" w:after="120"/>
        <w:ind w:firstLine="0" w:left="0"/>
        <w:jc w:val="center"/>
      </w:pPr>
      <w:r>
        <w:rPr>
          <w:rFonts w:ascii="Times New Roman" w:hAnsi="Times New Roman" w:cs="Times New Roman" w:eastAsia="Times New Roman"/>
          <w:b w:val="0"/>
          <w:i w:val="0"/>
          <w:color w:val="000000"/>
          <w:sz w:val="28"/>
        </w:rPr>
        <w:t>Mt = √(m₀² + m₁²) = √(0,06² + 0,20²).    (1)</w:t>
      </w:r>
    </w:p>
    <w:p>
      <w:pPr>
        <w:spacing w:line="360" w:lineRule="auto" w:before="0" w:after="0"/>
        <w:ind w:firstLine="709" w:left="0"/>
        <w:jc w:val="both"/>
      </w:pPr>
      <w:r>
        <w:rPr>
          <w:rFonts w:ascii="Times New Roman" w:hAnsi="Times New Roman" w:cs="Times New Roman" w:eastAsia="Times New Roman"/>
          <w:b w:val="0"/>
          <w:i w:val="0"/>
          <w:color w:val="000000"/>
          <w:sz w:val="28"/>
        </w:rPr>
        <w:t>Здесь m₀ = 0,06 м — погрешность спутниковых измерений, m₁ = 0,20 м — погрешность, связанная с межевым знаком. Подкоренное выражение равно 0,0436, корень равен 0,2088 м. До тысячных это 0,209 м, в плане записано 0,20 м. Для земель сельскохозяйственного назначения, предоставленных для садоводства, приказ Росреестра от 23.10.2020 № П/0393 устанавливает нормативную среднюю квадратическую погрешность 0,20 м [9]. Запись плана совпадает с этим нормативом. Для иных земель сельскохозяйственного назначения, не отнесенных к садоводству, личному подсобному хозяйству, огородничеству, гаражу или индивидуальному жилищному строительству, норматив равен 2,50 м, поэтому категорию и вид использования при проверке границы подменять нельзя.</w:t>
      </w:r>
    </w:p>
    <w:p>
      <w:pPr>
        <w:spacing w:line="360" w:lineRule="auto" w:before="0" w:after="0"/>
        <w:ind w:firstLine="709" w:left="0"/>
        <w:jc w:val="both"/>
      </w:pPr>
      <w:r>
        <w:rPr>
          <w:rFonts w:ascii="Times New Roman" w:hAnsi="Times New Roman" w:cs="Times New Roman" w:eastAsia="Times New Roman"/>
          <w:b w:val="0"/>
          <w:i w:val="0"/>
          <w:color w:val="000000"/>
          <w:sz w:val="28"/>
        </w:rPr>
        <w:t>Площадь по координатам вычисляется по формуле Гаусса (она же формула землемера, или формула шнурования):</w:t>
      </w:r>
    </w:p>
    <w:p>
      <w:pPr>
        <w:spacing w:line="360" w:lineRule="auto" w:before="120" w:after="120"/>
        <w:ind w:firstLine="0" w:left="0"/>
        <w:jc w:val="center"/>
      </w:pPr>
      <w:r>
        <w:rPr>
          <w:rFonts w:ascii="Times New Roman" w:hAnsi="Times New Roman" w:cs="Times New Roman" w:eastAsia="Times New Roman"/>
          <w:b w:val="0"/>
          <w:i w:val="0"/>
          <w:color w:val="000000"/>
          <w:sz w:val="28"/>
        </w:rPr>
        <w:t>P = ½ |Σ (Xi · Yi+1 − Xi+1 · Yi)|.    (2)</w:t>
      </w:r>
    </w:p>
    <w:p>
      <w:pPr>
        <w:spacing w:line="360" w:lineRule="auto" w:before="0" w:after="0"/>
        <w:ind w:firstLine="709" w:left="0"/>
        <w:jc w:val="both"/>
      </w:pPr>
      <w:r>
        <w:rPr>
          <w:rFonts w:ascii="Times New Roman" w:hAnsi="Times New Roman" w:cs="Times New Roman" w:eastAsia="Times New Roman"/>
          <w:b w:val="0"/>
          <w:i w:val="0"/>
          <w:color w:val="000000"/>
          <w:sz w:val="28"/>
        </w:rPr>
        <w:t>Предельная допустимая погрешность определения площади по требованиям, действовавшим для данной формы плана, связана с погрешностью точек и с площадью:</w:t>
      </w:r>
    </w:p>
    <w:p>
      <w:pPr>
        <w:spacing w:line="360" w:lineRule="auto" w:before="120" w:after="120"/>
        <w:ind w:firstLine="0" w:left="0"/>
        <w:jc w:val="center"/>
      </w:pPr>
      <w:r>
        <w:rPr>
          <w:rFonts w:ascii="Times New Roman" w:hAnsi="Times New Roman" w:cs="Times New Roman" w:eastAsia="Times New Roman"/>
          <w:b w:val="0"/>
          <w:i w:val="0"/>
          <w:color w:val="000000"/>
          <w:sz w:val="28"/>
        </w:rPr>
        <w:t>ΔP = 3,5 · Mt · √P.    (3)</w:t>
      </w:r>
    </w:p>
    <w:p>
      <w:pPr>
        <w:spacing w:line="360" w:lineRule="auto" w:before="0" w:after="0"/>
        <w:ind w:firstLine="709" w:left="0"/>
        <w:jc w:val="both"/>
      </w:pPr>
      <w:r>
        <w:rPr>
          <w:rFonts w:ascii="Times New Roman" w:hAnsi="Times New Roman" w:cs="Times New Roman" w:eastAsia="Times New Roman"/>
          <w:b w:val="0"/>
          <w:i w:val="0"/>
          <w:color w:val="000000"/>
          <w:sz w:val="28"/>
        </w:rPr>
        <w:t>Если площадь по координатам и площадь по правоустанавливающему документу различаются не больше чем на ΔP, кадастровый инженер указывает площадь по документу, а расхождение признается допустимым. Для рынка это означает, что в договоре следует называть площадь, внесенную в ЕГРН, и одновременно понимать допуск. Покупатель приобретает участок площадью P с допустимым отклонением ΔP, а не «ровно P квадратных метров без всякой погрешности».</w:t>
      </w:r>
    </w:p>
    <w:p>
      <w:pPr>
        <w:spacing w:line="360" w:lineRule="auto" w:before="0" w:after="0"/>
        <w:ind w:firstLine="709" w:left="0"/>
        <w:jc w:val="both"/>
      </w:pPr>
      <w:r>
        <w:rPr>
          <w:rFonts w:ascii="Times New Roman" w:hAnsi="Times New Roman" w:cs="Times New Roman" w:eastAsia="Times New Roman"/>
          <w:b w:val="0"/>
          <w:i w:val="0"/>
          <w:color w:val="000000"/>
          <w:sz w:val="28"/>
        </w:rPr>
        <w:t>Согласование границы проводится с правообладателями смежных участков. Результат фиксируется актом. Отсутствие возражений делает границу пригодной для учета. Если правообладатель смежного участка неизвестен, инженер отражает это в акте, а соответствующая часть границы может считаться ранее согласованной только при наличии предусмотренных законом оснований [3]. Такая часть остается зоной повышенного внимания при следующей сделке: реестр может содержать координаты, однако риск спора выше, чем на стороне, где смежный правообладатель лично подписал акт.</w:t>
      </w:r>
    </w:p>
    <w:p>
      <w:pPr>
        <w:spacing w:line="360" w:lineRule="auto" w:before="0" w:after="0"/>
        <w:ind w:firstLine="709" w:left="0"/>
        <w:jc w:val="both"/>
      </w:pPr>
      <w:r>
        <w:rPr>
          <w:rFonts w:ascii="Times New Roman" w:hAnsi="Times New Roman" w:cs="Times New Roman" w:eastAsia="Times New Roman"/>
          <w:b w:val="0"/>
          <w:i w:val="0"/>
          <w:color w:val="000000"/>
          <w:sz w:val="28"/>
        </w:rPr>
        <w:t>Связь межевого плана с рыночным решением можно представить как последовательность, в которой каждый следующий шаг использует результат предыдущего и одновременно теряет часть подробностей (рисунок 1).</w:t>
      </w:r>
    </w:p>
    <w:p>
      <w:pPr>
        <w:keepNext/>
        <w:keepLines/>
        <w:spacing w:line="360" w:lineRule="auto" w:before="120" w:after="40"/>
        <w:ind w:firstLine="0" w:left="0"/>
        <w:jc w:val="center"/>
      </w:pPr>
      <w:r>
        <w:drawing>
          <wp:inline xmlns:a="http://schemas.openxmlformats.org/drawingml/2006/main" xmlns:pic="http://schemas.openxmlformats.org/drawingml/2006/picture">
            <wp:extent cx="5832000" cy="1872661"/>
            <wp:docPr id="1" name="Picture 1"/>
            <wp:cNvGraphicFramePr>
              <a:graphicFrameLocks noChangeAspect="1"/>
            </wp:cNvGraphicFramePr>
            <a:graphic>
              <a:graphicData uri="http://schemas.openxmlformats.org/drawingml/2006/picture">
                <pic:pic>
                  <pic:nvPicPr>
                    <pic:cNvPr id="0" name="flow.png"/>
                    <pic:cNvPicPr/>
                  </pic:nvPicPr>
                  <pic:blipFill>
                    <a:blip r:embed="rId10"/>
                    <a:stretch>
                      <a:fillRect/>
                    </a:stretch>
                  </pic:blipFill>
                  <pic:spPr>
                    <a:xfrm>
                      <a:off x="0" y="0"/>
                      <a:ext cx="5832000" cy="1872661"/>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1 – Путь сведений от межевого плана к решению на рынке недвижимости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Из рисунка 1 видно предел реестра. Координаты и площадь нужны для тождества объекта, запись о праве — для полномочий продавца, кадастровая стоимость — для налога, но не для замены рыночной цены. Подробности измерений остаются в межевом плане.</w:t>
      </w:r>
    </w:p>
    <w:p>
      <w:pPr>
        <w:spacing w:line="360" w:lineRule="auto" w:before="240" w:after="240"/>
        <w:ind w:firstLine="0" w:left="0"/>
        <w:jc w:val="center"/>
      </w:pPr>
      <w:r>
        <w:rPr>
          <w:rFonts w:ascii="Times New Roman" w:hAnsi="Times New Roman" w:cs="Times New Roman" w:eastAsia="Times New Roman"/>
          <w:b/>
          <w:i w:val="0"/>
          <w:color w:val="000000"/>
          <w:sz w:val="28"/>
        </w:rPr>
        <w:t>1.3 Сведения ЕГРН при принятии решений на рынке недвижимости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Рыночная стоимость — наиболее вероятная цена, по которой объект может быть отчужден на открытом рынке в условиях конкуренции, когда стороны действуют разумно и располагают необходимой информацией, а на цене не сказываются чрезвычайные обстоятельства [6]. Это понимание сохраняют ФСО II «Виды стоимости» и учебники по оценке; стандарты утверждены приказом Минэкономразвития России от 14.04.2022 № 200 [11; 16; 21]. ЕГРН закрывает юридическую и идентификационную часть сведений: без реестра покупатель не устанавливает тождество объекта и запись о праве. Цену реестр не назначает. Кадастровая стоимость определяется массовой оценкой на определенную дату и вносится в ЕГРН для целей, предусмотренных законом, прежде всего для налога [1; 5]. Работа Carranza и соавторов показывает, что массовая оценка может строиться на открытых данных и отличается от цены отдельной сделки [26]. Этот вывод в работе не переносится на российский налог дословно: он нужен только как подтверждение, что массовый показатель и цена сделки — разные величины.</w:t>
      </w:r>
    </w:p>
    <w:p>
      <w:pPr>
        <w:spacing w:line="360" w:lineRule="auto" w:before="0" w:after="0"/>
        <w:ind w:firstLine="709" w:left="0"/>
        <w:jc w:val="both"/>
      </w:pPr>
      <w:r>
        <w:rPr>
          <w:rFonts w:ascii="Times New Roman" w:hAnsi="Times New Roman" w:cs="Times New Roman" w:eastAsia="Times New Roman"/>
          <w:b w:val="0"/>
          <w:i w:val="0"/>
          <w:color w:val="000000"/>
          <w:sz w:val="28"/>
        </w:rPr>
        <w:t>Статья 66 Земельного кодекса разводит две величины. Кадастровая стоимость определяется в порядке законодательства об оценочной деятельности и о государственной кадастровой оценке. Если рыночная стоимость участка установлена в предусмотренном порядке, кадастровая стоимость принимается равной этой рыночной [1; 5]. Пока такой процедуры не было, величина в ЕГРН остается результатом массовой оценки и не является ценой оферты. Прототип Kara и соавторов показывает, как единицы кадастровой оценки можно связать с моделью LADM [27]. В настоящей работе эта публикация используется только как пример того, что кадастровая модель описывает учетную единицу, а не цену конкретного объявления.</w:t>
      </w:r>
    </w:p>
    <w:p>
      <w:pPr>
        <w:spacing w:line="360" w:lineRule="auto" w:before="0" w:after="0"/>
        <w:ind w:firstLine="709" w:left="0"/>
        <w:jc w:val="both"/>
      </w:pPr>
      <w:r>
        <w:rPr>
          <w:rFonts w:ascii="Times New Roman" w:hAnsi="Times New Roman" w:cs="Times New Roman" w:eastAsia="Times New Roman"/>
          <w:b w:val="0"/>
          <w:i w:val="0"/>
          <w:color w:val="000000"/>
          <w:sz w:val="28"/>
        </w:rPr>
        <w:t>Массовая оценка группирует участки по видам использования и по территории. Методические указания, утвержденные приказом Росреестра от 04.08.2021 № П/0336, выделяют садоводство отдельно от индивидуальной жилой застройки [10]. В расчет массовой оценки попадают характеристики ЕГРН, а не колодец, подъезд и состояние сетей конкретного участка [25]. Поэтому кадастровая стоимость может расходиться с ценами предложений в одном товариществе. Статья Курлова посвящена предиктивной модели рыночной стоимости, а не наполнению ЕГРН, поэтому на состав реестра она здесь не опирается [20].</w:t>
      </w:r>
    </w:p>
    <w:p>
      <w:pPr>
        <w:spacing w:line="360" w:lineRule="auto" w:before="0" w:after="0"/>
        <w:ind w:firstLine="709" w:left="0"/>
        <w:jc w:val="both"/>
      </w:pPr>
      <w:r>
        <w:rPr>
          <w:rFonts w:ascii="Times New Roman" w:hAnsi="Times New Roman" w:cs="Times New Roman" w:eastAsia="Times New Roman"/>
          <w:b w:val="0"/>
          <w:i w:val="0"/>
          <w:color w:val="000000"/>
          <w:sz w:val="28"/>
        </w:rPr>
        <w:t>Для земельного налога используется кадастровая стоимость, внесенная в ЕГРН и подлежащая применению на 1 января налогового периода [1; 5]. Ставку в пределах, заданных налоговым законодательством, устанавливает муниципалитет. Для садоводства федеральный предел составляет 0,3 процента, местная ставка может быть ниже. Из реестра берутся стоимость, категория и вид разрешенного использования, а ставка лежит вне ЕГРН. Реестр для налога необходим, однако одной карточкой сумма налога не определяется. Отдельная проблема информационного обеспечения состоит в том, что единого ресурса цен сделок и предложений до сих пор нет: характеристики ЕГРН могут быть уточнены заявлением, а рыночная цена таким образом в реестр не вносится, поэтому в отчетах о кадастровой оценке преобладают цены предложений [23; 24].</w:t>
      </w:r>
    </w:p>
    <w:p>
      <w:pPr>
        <w:spacing w:line="360" w:lineRule="auto" w:before="0" w:after="0"/>
        <w:ind w:firstLine="709" w:left="0"/>
        <w:jc w:val="both"/>
      </w:pPr>
      <w:r>
        <w:rPr>
          <w:rFonts w:ascii="Times New Roman" w:hAnsi="Times New Roman" w:cs="Times New Roman" w:eastAsia="Times New Roman"/>
          <w:b w:val="0"/>
          <w:i w:val="0"/>
          <w:color w:val="000000"/>
          <w:sz w:val="28"/>
        </w:rPr>
        <w:t>Разные решения требуют разного состава сведений. Чтобы опознать объект на местности, нужны кадастровый номер, адрес и координаты. Чтобы проверить продавца, нужна актуальная запись о праве и об ограничениях. Чтобы назначить цену, нужны площадь из ЕГРН и рыночные аналоги, которых в ЕГРН нет. Чтобы посчитать налог, нужны кадастровая стоимость и местная ставка. Для залога банк обычно запрашивает участок с установленными границами. Это условие договора с кредитной организацией, а не норма ЕГРН, и в работе оно не выдается за правило закона. Для садового дома нужны вид разрешенного использования и градостроительный регламент, которого в ЕГРН нет [4]. Сводка приведена в таблице 1.</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1 – Пригодность сведений ЕГРН для типовых решений на рынке</w:t>
      </w:r>
    </w:p>
    <w:tbl>
      <w:tblPr>
        <w:tblW w:type="dxa" w:w="9639"/>
        <w:jc w:val="center"/>
        <w:tblLayout w:type="fixed"/>
        <w:tblLook w:firstColumn="1" w:firstRow="1" w:lastColumn="0" w:lastRow="0" w:noHBand="0" w:noVBand="1" w:val="04A0"/>
      </w:tblPr>
      <w:tblGrid>
        <w:gridCol w:w="2381"/>
        <w:gridCol w:w="3628"/>
        <w:gridCol w:w="3628"/>
      </w:tblGrid>
      <w:tr>
        <w:trPr>
          <w:cantSplit/>
          <w:tblHeader/>
        </w:trPr>
        <w:tc>
          <w:tcPr>
            <w:tcW w:type="dxa" w:w="238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Решение</w:t>
            </w:r>
          </w:p>
        </w:tc>
        <w:tc>
          <w:tcPr>
            <w:tcW w:type="dxa" w:w="362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Что берется из ЕГРН</w:t>
            </w:r>
          </w:p>
        </w:tc>
        <w:tc>
          <w:tcPr>
            <w:tcW w:type="dxa" w:w="362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Чего в ЕГРН недостаточно</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Убедиться, что объект существует и совпадает с показом</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Кадастровый номер, адрес, площадь, контур на карте, статус записи</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Координат в открытой карточке может не быть; нужен каталог или выписка</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Проверить право продавца</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Вид права, номер и дата регистрации; в выписке — правообладатель</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Открытая карточка не называет гражданина; историю дает выписка о переходе прав</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Исключить обременение</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Раздел ограничений в выписке</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Пустой экран справочной карточки не заменяет выписку</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Назначить цену сделки</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 как количество; категория и ВРИ как режим</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Цен предложений и сделок в публичной карточке нет</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Исчислить земельный налог</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Кадастровая стоимость на нужную дату</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Ставка налога устанавливается муниципальным актом</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Передать участок в залог</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Наличие координат границы, запись о праве</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Статус «ранее учтенный» при спорном контуре требует отдельной проверки</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Оценить возможность строительства</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Категория земель и ВРИ</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Градостроительный регламент и полный перечень ЗОУИТ</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Таблица 1 задает критерий, который дальше применяется к конкретному участку. Сведение пригодно, если оно есть в реестре, относится к нужному решению и не противоречит другим официальным источникам. Сведение непригодно как единственное основание, если реестр содержит только усредненную или сокращенную величину, а решение зависит от индивидуальной характеристики. Кадастровая стоимость — главный пример второго случая. Площадь, подтвержденная координатами межевого плана, — главный пример первого.</w:t>
      </w:r>
    </w:p>
    <w:p>
      <w:pPr>
        <w:spacing w:line="360" w:lineRule="auto" w:before="0" w:after="0"/>
        <w:ind w:firstLine="709" w:left="0"/>
        <w:jc w:val="both"/>
      </w:pPr>
      <w:r>
        <w:rPr>
          <w:rFonts w:ascii="Times New Roman" w:hAnsi="Times New Roman" w:cs="Times New Roman" w:eastAsia="Times New Roman"/>
          <w:b w:val="0"/>
          <w:i w:val="0"/>
          <w:color w:val="000000"/>
          <w:sz w:val="28"/>
        </w:rPr>
        <w:t>Для незастроенного садового участка применен сравнительный подход: есть рынок сходных объектов. Выбор подхода опирается на ФСО V «Подходы и методы оценки», утвержденный тем же приказом № 200 [11], и на учебники [16; 21]. Затратный подход не применяется, потому что землю нельзя воспроизвести как улучшение. Доходный подход не применяется, потому что по участку нет сведений об аренде или ином доходе, без которых ФСО V этот подход не строится. Статья о доходном подходе при массовой оценке земель иного хозяйственного использования здесь не подтверждает отказ от подхода: у садового участка просто нет исходных данных о доходе [19]. Карточка ЕГРН цену договора не показывает, поэтому аналоги берутся из объявлений [23].</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2 ОЦЕНКА ПРИГОДНОСТИ СВЕДЕНИЙ ЕГРН НА ПРИМЕРЕ ЗЕМЕЛЬНОГО УЧАСТКА 50:28:0000000:51403</w:t>
      </w:r>
    </w:p>
    <w:p>
      <w:pPr>
        <w:spacing w:line="360" w:lineRule="auto" w:before="240" w:after="240"/>
        <w:ind w:firstLine="0" w:left="0"/>
        <w:jc w:val="center"/>
      </w:pPr>
      <w:r>
        <w:rPr>
          <w:rFonts w:ascii="Times New Roman" w:hAnsi="Times New Roman" w:cs="Times New Roman" w:eastAsia="Times New Roman"/>
          <w:b/>
          <w:i w:val="0"/>
          <w:color w:val="000000"/>
          <w:sz w:val="28"/>
        </w:rPr>
        <w:t>2.1 Характеристика объекта оценки по данным ЕГРН, НСПД и межевого плана</w:t>
      </w:r>
    </w:p>
    <w:p>
      <w:pPr>
        <w:spacing w:line="360" w:lineRule="auto" w:before="0" w:after="0"/>
        <w:ind w:firstLine="709" w:left="0"/>
        <w:jc w:val="both"/>
      </w:pPr>
      <w:r>
        <w:rPr>
          <w:rFonts w:ascii="Times New Roman" w:hAnsi="Times New Roman" w:cs="Times New Roman" w:eastAsia="Times New Roman"/>
          <w:b w:val="0"/>
          <w:i w:val="0"/>
          <w:color w:val="000000"/>
          <w:sz w:val="28"/>
        </w:rPr>
        <w:t>Порядок работы соответствует рисунку 1. Сначала собраны публичная карточка Росреестра, карточка и карта НСПД, затем разобран межевой план от 09.09.2015. Координаты проверены расчетом, по ним построен разбивочный чертеж, после чего кадастровая стоимость сопоставлена с учебным расчетом рыночной. Выписки о переходе прав в комплекте нет, в открытой карточке нет каталога координат, сведений о коммуникациях и отдельного списка зон с особыми условиями. Эти пробелы не заполнялись предположениями.</w:t>
      </w:r>
    </w:p>
    <w:p>
      <w:pPr>
        <w:spacing w:line="360" w:lineRule="auto" w:before="0" w:after="0"/>
        <w:ind w:firstLine="709" w:left="0"/>
        <w:jc w:val="both"/>
      </w:pPr>
      <w:r>
        <w:rPr>
          <w:rFonts w:ascii="Times New Roman" w:hAnsi="Times New Roman" w:cs="Times New Roman" w:eastAsia="Times New Roman"/>
          <w:b w:val="0"/>
          <w:i w:val="0"/>
          <w:color w:val="000000"/>
          <w:sz w:val="28"/>
        </w:rPr>
        <w:t>По справочной информации Росреестра, обновленной 28.09.2026, объект является земельным участком, статус записи — «актуально». Кадастровый номер 50:28:0000000:51403 присвоен 24.04.2015. Форма собственности — частная. Адрес: Российская Федерация, Московская область, г. о. Домодедово, тер. СНТ «Ветеран-5», з/у 7. Площадь — 1 005 кв. м. Категория земель — земли сельскохозяйственного назначения. Вид разрешенного использования — для садоводства. Кадастровая стоимость — 3 078 864,73 руб., дата определения стоимости — 01.01.2022, дата внесения сведения — 05.12.2025. В разделе прав указана собственность, номер регистрации 50-50/028-50/028/005/2016-1164/1 от 22.03.2016 [29].</w:t>
      </w:r>
    </w:p>
    <w:p>
      <w:pPr>
        <w:spacing w:line="360" w:lineRule="auto" w:before="0" w:after="0"/>
        <w:ind w:firstLine="709" w:left="0"/>
        <w:jc w:val="both"/>
      </w:pPr>
      <w:r>
        <w:rPr>
          <w:rFonts w:ascii="Times New Roman" w:hAnsi="Times New Roman" w:cs="Times New Roman" w:eastAsia="Times New Roman"/>
          <w:b w:val="0"/>
          <w:i w:val="0"/>
          <w:color w:val="000000"/>
          <w:sz w:val="28"/>
        </w:rPr>
        <w:t>Карточка НСПД подтверждает тот же номер, ту же дату присвоения номера, ту же площадь как уточненную, ту же категорию, тот же вид разрешенного использования и частную форму собственности. Дополнительно указаны вид земельного участка «землепользование», кадастровый квартал 50:28:0090134 и удельный показатель кадастровой стоимости 3 063,55 руб./кв. м. Статус в этой карточке обозначен как «ранее учтенный» [30]. На карте участок показан замкнутым контуром среди иных участков ЕГРН и выделен при запросе пересечений вместе с участками 50:28:0090134:4, 50:28:0090134:10 и 50:28:0090134:104.</w:t>
      </w:r>
    </w:p>
    <w:p>
      <w:pPr>
        <w:spacing w:line="360" w:lineRule="auto" w:before="0" w:after="0"/>
        <w:ind w:firstLine="709" w:left="0"/>
        <w:jc w:val="both"/>
      </w:pPr>
      <w:r>
        <w:rPr>
          <w:rFonts w:ascii="Times New Roman" w:hAnsi="Times New Roman" w:cs="Times New Roman" w:eastAsia="Times New Roman"/>
          <w:b w:val="0"/>
          <w:i w:val="0"/>
          <w:color w:val="000000"/>
          <w:sz w:val="28"/>
        </w:rPr>
        <w:t>Межевой план подготовлен 09.09.2015 по уточнению границы участка 50:28:0000000:51403. Адрес в плане: Московская область, Домодедовский район, садоводческое товарищество «Ветеран-5», уч. № 7. Заказчик работ в тексте обозначен инициалами М. Н. М., кадастровый инженер — Е. В. М., аттестат 50-10-140, исполнитель — ООО «ЦГиКУ». План составлен по требованиям закона о кадастровой деятельности, действовавшим на дату работ [3; 31]. Файл плана опубликован ЦГиКУ как образец межевого плана. Это не выписка, заказанная для настоящей работы. План принят как источник геометрии именно этого участка, потому что кадастровый номер, адрес товарищества и площадь 1 005 кв. м в нем совпадают с действующей карточкой Росреестра. Совпадение не заменяет архивное реестровое дело: каталог в самой карточке не показан, и прямое тождество каждой координаты плана и действующей записи ЕГРН по открытым материалам не проверяется.</w:t>
      </w:r>
    </w:p>
    <w:p>
      <w:pPr>
        <w:spacing w:line="360" w:lineRule="auto" w:before="0" w:after="0"/>
        <w:ind w:firstLine="709" w:left="0"/>
        <w:jc w:val="both"/>
      </w:pPr>
      <w:r>
        <w:rPr>
          <w:rFonts w:ascii="Times New Roman" w:hAnsi="Times New Roman" w:cs="Times New Roman" w:eastAsia="Times New Roman"/>
          <w:b w:val="0"/>
          <w:i w:val="0"/>
          <w:color w:val="000000"/>
          <w:sz w:val="28"/>
        </w:rPr>
        <w:t>Совпадение и расхождение трех источников собраны в таблице 2. Совпадающие показатели можно использовать без оговорок. Расходящиеся показатели не сводятся к одной цифре.</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2 – Сопоставление сведений трех источников по участку 50:28:0000000:51403</w:t>
      </w:r>
    </w:p>
    <w:tbl>
      <w:tblPr>
        <w:tblW w:type="dxa" w:w="9639"/>
        <w:jc w:val="center"/>
        <w:tblLayout w:type="fixed"/>
        <w:tblLook w:firstColumn="1" w:firstRow="1" w:lastColumn="0" w:lastRow="0" w:noHBand="0" w:noVBand="1" w:val="04A0"/>
      </w:tblPr>
      <w:tblGrid>
        <w:gridCol w:w="1927"/>
        <w:gridCol w:w="2608"/>
        <w:gridCol w:w="2494"/>
        <w:gridCol w:w="2608"/>
      </w:tblGrid>
      <w:tr>
        <w:trPr>
          <w:cantSplit/>
          <w:tblHeader/>
        </w:trPr>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Показатель</w:t>
            </w:r>
          </w:p>
        </w:tc>
        <w:tc>
          <w:tcPr>
            <w:tcW w:type="dxa" w:w="260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Росреестр, карточка</w:t>
            </w:r>
          </w:p>
        </w:tc>
        <w:tc>
          <w:tcPr>
            <w:tcW w:type="dxa" w:w="249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НСПД</w:t>
            </w:r>
          </w:p>
        </w:tc>
        <w:tc>
          <w:tcPr>
            <w:tcW w:type="dxa" w:w="260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Межевой план 09.09.2015</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Кадастровый номер</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50:28:0000000:51403</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50:28:0000000:51403</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50:28:0000000:51403</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Дата номера</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24.04.2015</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24.04.2015</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работы 2015 года</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Статус</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Актуально (статус записи)</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Ранее учтенный</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Уточняемый участок</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Квартал</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номере 0000000</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 чертеже 50:28:0090134</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Адрес</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 о. Домодедово, СНТ «Ветеран-5», з/у 7</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то же</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Домодедовский район, СНТ «Ветеран-5», уч. 7</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 кв. м</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1 005</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1 005, уточненная</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1 005 ± 22</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Категория / ВРИ</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Сельскохозяйственные / для садоводства</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то же</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садовый участок в составе СНТ</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Кадастровая стоимость</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 руб.</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 руб.; УПКС 3 063,55</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плане 2015 года отсутствует</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Право</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Собственность от 22.03.2016, номер указан, ФИО нет</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Форма — частная, ФИО нет</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Заказчик работ назван; это не запись о праве</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Координаты</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открытой карточке не приведены</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Контур на карте есть, каталога в выгрузке нет</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Каталог н1–н5, МСК-50</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Здания</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карточке не указаны</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Вкладка «Объекты» в материалах не приведена</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 дату плана зданий нет</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Смежные участки</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карточке не раскрыты</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Пересечения: :4, :10, :104</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н1–н3 и н4–н5 — :4; н3–н4 — :104; н5–н1 — :10</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По таблице 2 совпадают кадастровый номер, дата его присвоения 24.04.2015, площадь 1 005 кв. м, категория земель сельскохозяйственного назначения, вид разрешенного использования «для садоводства», частная форма собственности и набор смежных участков 50:28:0090134:4, :10 и :104. Кадастровая стоимость 3 078 864,73 руб. совпадает в карточке Росреестра и в НСПД. В межевом плане 2015 года ее нет, поскольку действующий цикл государственной кадастровой оценки относится к 2022 году. Не совпадают статус («актуально» как состояние записи и «ранее учтенный» как происхождение объекта), квартал в номере (0000000) и квартал фактического расположения (50:28:0090134), формулировка адреса (городской округ Домодедово и Домодедовский район; в акте согласования дополнительно названа деревня Соломахово). Каталог координат есть только в плане. Заказчик работ М. Н. М. назван в плане и не является записью о действующем правообладателе: собственность зарегистрирована 22.03.2016, а открытая карточка фамилию не показывает. Зданий план не содержит, вкладка «Объекты» НСПД в исходных материалах отсутствует. Пересечения на карте показали смежные участки, а не перечень зон с особыми условиями использования территории. Эти расхождения далее разбираются по отдельности, а не сводятся к одной «средней» записи.</w:t>
      </w:r>
    </w:p>
    <w:p>
      <w:pPr>
        <w:spacing w:line="360" w:lineRule="auto" w:before="0" w:after="0"/>
        <w:ind w:firstLine="709" w:left="0"/>
        <w:jc w:val="both"/>
      </w:pPr>
      <w:r>
        <w:rPr>
          <w:rFonts w:ascii="Times New Roman" w:hAnsi="Times New Roman" w:cs="Times New Roman" w:eastAsia="Times New Roman"/>
          <w:b w:val="0"/>
          <w:i w:val="0"/>
          <w:color w:val="000000"/>
          <w:sz w:val="28"/>
        </w:rPr>
        <w:t>Площадь во всех трех источниках равна 1 005 кв. м. Это главный положительный результат сопоставления: величина, которая попала в ЕГРН, совпадает и с действующей карточкой, и с межевым планом, и с проверкой через удельный показатель кадастровой стоимости. Деление 3 078 864,73 / 1 005 дает 3 063,547 руб./кв. м, что при округлении до копейки совпадает с удельным показателем НСПД 3 063,55 руб./кв. м. Расхождение произведения 3 063,55 × 1 005 с записанной стоимостью составляет около 3 руб. и объясняется округлением удельного показателя, а не иной площадью.</w:t>
      </w:r>
    </w:p>
    <w:p>
      <w:pPr>
        <w:spacing w:line="360" w:lineRule="auto" w:before="0" w:after="0"/>
        <w:ind w:firstLine="709" w:left="0"/>
        <w:jc w:val="both"/>
      </w:pPr>
      <w:r>
        <w:rPr>
          <w:rFonts w:ascii="Times New Roman" w:hAnsi="Times New Roman" w:cs="Times New Roman" w:eastAsia="Times New Roman"/>
          <w:b w:val="0"/>
          <w:i w:val="0"/>
          <w:color w:val="000000"/>
          <w:sz w:val="28"/>
        </w:rPr>
        <w:t>Кадастровый номер 50:28:0000000:51403 читается так: 50 — Московская область, 28 — кадастровый район, 0000000 — квартал в номере не задан, 51403 — номер участка в пределах района. Нулевой квартал характерен для ранее учтенных объектов. Карта при этом относит участок к кварталу 50:28:0090134, и смежные участки имеют номера уже внутри этого квартала. Поиск только по номеру квартала, извлеченному из кадастрового номера, этот объект не выявляет. Надежный поисковый признак — полный кадастровый номер, а квартал устанавливается по НСПД.</w:t>
      </w:r>
    </w:p>
    <w:p>
      <w:pPr>
        <w:spacing w:line="360" w:lineRule="auto" w:before="0" w:after="0"/>
        <w:ind w:firstLine="709" w:left="0"/>
        <w:jc w:val="both"/>
      </w:pPr>
      <w:r>
        <w:rPr>
          <w:rFonts w:ascii="Times New Roman" w:hAnsi="Times New Roman" w:cs="Times New Roman" w:eastAsia="Times New Roman"/>
          <w:b w:val="0"/>
          <w:i w:val="0"/>
          <w:color w:val="000000"/>
          <w:sz w:val="28"/>
        </w:rPr>
        <w:t>Адрес изменился вместе с муниципальным устройством: в плане 2015 года указан Домодедовский район, в карточке 2026 года — городской округ Домодедово. Номер участка внутри товарищества сохранен (участок 7). В акте согласования смежный правообладатель СНТ описан с привязкой к деревне Соломахово. Деревня в адрес самой карточки не вынесена. Для договора опасна не эта разница сама по себе, а попытка идентифицировать объект только словами «участок в Соломахово». Таких участков много. Идентификатором должен оставаться кадастровый номер.</w:t>
      </w:r>
    </w:p>
    <w:p>
      <w:pPr>
        <w:spacing w:line="360" w:lineRule="auto" w:before="0" w:after="0"/>
        <w:ind w:firstLine="709" w:left="0"/>
        <w:jc w:val="both"/>
      </w:pPr>
      <w:r>
        <w:rPr>
          <w:rFonts w:ascii="Times New Roman" w:hAnsi="Times New Roman" w:cs="Times New Roman" w:eastAsia="Times New Roman"/>
          <w:b w:val="0"/>
          <w:i w:val="0"/>
          <w:color w:val="000000"/>
          <w:sz w:val="28"/>
        </w:rPr>
        <w:t>Статусы «актуально» и «ранее учтенный» отвечают на разные вопросы. В карточке Росреестра «актуально» означает, что запись не погашена. В НСПД «ранее учтенный» описывает происхождение объекта: он существовал до современной кадастровой записи. После уточнения границы 2015 года и при показанном на карте контуре ожидается признак установленной границы. По одной подписи на экране происхождение объекта и состояние границы не различаются. Выписка с координатами в исходных материалах отсутствует, поэтому контур признан отображенным на карте, а как запись ЕГРН подтверждены площадь и факт учета.</w:t>
      </w:r>
    </w:p>
    <w:p>
      <w:pPr>
        <w:spacing w:line="360" w:lineRule="auto" w:before="0" w:after="0"/>
        <w:ind w:firstLine="709" w:left="0"/>
        <w:jc w:val="both"/>
      </w:pPr>
      <w:r>
        <w:rPr>
          <w:rFonts w:ascii="Times New Roman" w:hAnsi="Times New Roman" w:cs="Times New Roman" w:eastAsia="Times New Roman"/>
          <w:b w:val="0"/>
          <w:i w:val="0"/>
          <w:color w:val="000000"/>
          <w:sz w:val="28"/>
        </w:rPr>
        <w:t>Запись о собственности от 22.03.2016 позднее межевого плана от 09.09.2015. Среди документов плана есть свидетельства о праве на землю от 27.12.1993, поэтому 2016 год — дата регистрационной записи, а не дата возникновения права. Фамилия заказчика кадастровых работ не подставляется вместо актуального правообладателя: открытая карточка ее не показывает. Для договора нужна выписка.</w:t>
      </w:r>
    </w:p>
    <w:p>
      <w:pPr>
        <w:spacing w:line="360" w:lineRule="auto" w:before="0" w:after="0"/>
        <w:ind w:firstLine="709" w:left="0"/>
        <w:jc w:val="both"/>
      </w:pPr>
      <w:r>
        <w:rPr>
          <w:rFonts w:ascii="Times New Roman" w:hAnsi="Times New Roman" w:cs="Times New Roman" w:eastAsia="Times New Roman"/>
          <w:b w:val="0"/>
          <w:i w:val="0"/>
          <w:color w:val="000000"/>
          <w:sz w:val="28"/>
        </w:rPr>
        <w:t>Обременения в видимой части карточки не перечислены: раздел называется «сведения о правах и ограничениях», но заполнена только запись о собственности. Это благоприятный признак и одновременно слабое доказательство. Справочный экран может быть неполным. Вывода «обременений нет» работа не делает. Вывод другой: открытых сведений недостаточно, чтобы такой вывод гарантировать.</w:t>
      </w:r>
    </w:p>
    <w:p>
      <w:pPr>
        <w:spacing w:line="360" w:lineRule="auto" w:before="0" w:after="0"/>
        <w:ind w:firstLine="709" w:left="0"/>
        <w:jc w:val="both"/>
      </w:pPr>
      <w:r>
        <w:rPr>
          <w:rFonts w:ascii="Times New Roman" w:hAnsi="Times New Roman" w:cs="Times New Roman" w:eastAsia="Times New Roman"/>
          <w:b w:val="0"/>
          <w:i w:val="0"/>
          <w:color w:val="000000"/>
          <w:sz w:val="28"/>
        </w:rPr>
        <w:t>Кадастровая стоимость определена по состоянию на 01.01.2022. Эта дата совпадает с циклом государственной кадастровой оценки земель Московской области, результаты которого утверждены распоряжением Минимущества Московской области от 28.11.2022 № 15ВР-2452 и применяются с 01.01.2023 [12]. Дата внесения 05.12.2025 фиксирует момент актуальной записи в просматриваемой карточке. Сама по себе она не означает, что 5 декабря 2025 года участок оценили заново. Для налога имеет значение стоимость, действующая на 1 января соответствующего года. Подмена даты определения датой внесения была бы ошибкой использования сведений ЕГРН.</w:t>
      </w:r>
    </w:p>
    <w:p>
      <w:pPr>
        <w:spacing w:line="360" w:lineRule="auto" w:before="240" w:after="240"/>
        <w:ind w:firstLine="0" w:left="0"/>
        <w:jc w:val="center"/>
      </w:pPr>
      <w:r>
        <w:rPr>
          <w:rFonts w:ascii="Times New Roman" w:hAnsi="Times New Roman" w:cs="Times New Roman" w:eastAsia="Times New Roman"/>
          <w:b/>
          <w:i w:val="0"/>
          <w:color w:val="000000"/>
          <w:sz w:val="28"/>
        </w:rPr>
        <w:t>2.2 Проверка геометрических сведений и разбивка участка</w:t>
      </w:r>
    </w:p>
    <w:p>
      <w:pPr>
        <w:spacing w:line="360" w:lineRule="auto" w:before="0" w:after="0"/>
        <w:ind w:firstLine="709" w:left="0"/>
        <w:jc w:val="both"/>
      </w:pPr>
      <w:r>
        <w:rPr>
          <w:rFonts w:ascii="Times New Roman" w:hAnsi="Times New Roman" w:cs="Times New Roman" w:eastAsia="Times New Roman"/>
          <w:b w:val="0"/>
          <w:i w:val="0"/>
          <w:color w:val="000000"/>
          <w:sz w:val="28"/>
        </w:rPr>
        <w:t>Геометрические сведения, которые реестр получает из межевого плана, проверены заново по каталогу координат. Система координат — МСК-50. Метод определения координат — спутниковые геодезические измерения. Исходный пункт — «Шахово», пирамида, 3 класс, X = 419 546,85 м, Y = 2 214 903,66 м. Средство измерений — комплект спутниковой геодезической аппаратуры Leica GS 15, свидетельство о поверке от 10.07.2015 № 075048, срок до 10.07.2016. На дату плана поверка была действующей. Зданий, сооружений и объектов незавершенного строительства на участке план не указывает [31].</w:t>
      </w:r>
    </w:p>
    <w:p>
      <w:pPr>
        <w:spacing w:line="360" w:lineRule="auto" w:before="0" w:after="0"/>
        <w:ind w:firstLine="709" w:left="0"/>
        <w:jc w:val="both"/>
      </w:pPr>
      <w:r>
        <w:rPr>
          <w:rFonts w:ascii="Times New Roman" w:hAnsi="Times New Roman" w:cs="Times New Roman" w:eastAsia="Times New Roman"/>
          <w:b w:val="0"/>
          <w:i w:val="0"/>
          <w:color w:val="000000"/>
          <w:sz w:val="28"/>
        </w:rPr>
        <w:t>Каталог уточненных координат и контрольные расстояния приведены в таблице 3. Существующих координат до уточнения план не содержит: в соответствующих графах стоят прочерки. Закрепление всех точек описано одинаково — «закрепление отсутствует», погрешность каждой точки в плане принята 0,20 м.</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3 – Каталог характерных точек границы участка 50:28:0000000:51403</w:t>
      </w:r>
    </w:p>
    <w:tbl>
      <w:tblPr>
        <w:tblW w:type="dxa" w:w="9639"/>
        <w:jc w:val="center"/>
        <w:tblLayout w:type="fixed"/>
        <w:tblLook w:firstColumn="1" w:firstRow="1" w:lastColumn="0" w:lastRow="0" w:noHBand="0" w:noVBand="1" w:val="04A0"/>
      </w:tblPr>
      <w:tblGrid>
        <w:gridCol w:w="1247"/>
        <w:gridCol w:w="1814"/>
        <w:gridCol w:w="1927"/>
        <w:gridCol w:w="1134"/>
        <w:gridCol w:w="1814"/>
        <w:gridCol w:w="1701"/>
      </w:tblGrid>
      <w:tr>
        <w:trPr>
          <w:cantSplit/>
          <w:tblHeader/>
        </w:trPr>
        <w:tc>
          <w:tcPr>
            <w:tcW w:type="dxa" w:w="124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Точка</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X, м</w:t>
            </w:r>
          </w:p>
        </w:tc>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Y, м</w:t>
            </w:r>
          </w:p>
        </w:tc>
        <w:tc>
          <w:tcPr>
            <w:tcW w:type="dxa" w:w="113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Mt, м</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Закрепление</w:t>
            </w:r>
          </w:p>
        </w:tc>
        <w:tc>
          <w:tcPr>
            <w:tcW w:type="dxa" w:w="170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S до след., м</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420840,25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2217780,05</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21,57</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420842,04</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2217801,55</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5,75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420842,35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2217807,29</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37,65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420804,79</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2217809,86</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27,09</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420804,20</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2217782,78</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36,15</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Горизонтальные проложения, записанные в плане, равны 21,57 м (н1–н2), 5,75 м (н2–н3), 37,65 м (н3–н4), 27,09 м (н4–н5) и 36,15 м (н5–н1). Независимый расчет по координатам дает 21,574 м, 5,748 м, 37,648 м, 27,086 м и 36,153 м. После округления до 0,01 м все пять длин совпадают с планом. Периметр составляет 128,21 м. Расхождение отсутствует, следовательно, каталог и ведомость длин описывают один и тот же контур, а не два несвязанных фрагмента одного документа.</w:t>
      </w:r>
    </w:p>
    <w:p>
      <w:pPr>
        <w:spacing w:line="360" w:lineRule="auto" w:before="0" w:after="0"/>
        <w:ind w:firstLine="709" w:left="0"/>
        <w:jc w:val="both"/>
      </w:pPr>
      <w:r>
        <w:rPr>
          <w:rFonts w:ascii="Times New Roman" w:hAnsi="Times New Roman" w:cs="Times New Roman" w:eastAsia="Times New Roman"/>
          <w:b w:val="0"/>
          <w:i w:val="0"/>
          <w:color w:val="000000"/>
          <w:sz w:val="28"/>
        </w:rPr>
        <w:t>Дирекционные углы сторон и внутренние углы полигона нужны для разбивки: по ним контур выносится на местность и проверяется построением. Дирекционный угол отсчитывается от северного направления оси X по ходу часовой стрелки. Внутренний угол получен как угол между смежными сторонами внутри контура. Для пятиугольника сумма внутренних углов должна составлять 540°. Результаты сведены в таблицу 4.</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4 – Ведомость сторон границы для разбивки участка</w:t>
      </w:r>
    </w:p>
    <w:tbl>
      <w:tblPr>
        <w:tblW w:type="dxa" w:w="9639"/>
        <w:jc w:val="center"/>
        <w:tblLayout w:type="fixed"/>
        <w:tblLook w:firstColumn="1" w:firstRow="1" w:lastColumn="0" w:lastRow="0" w:noHBand="0" w:noVBand="1" w:val="04A0"/>
      </w:tblPr>
      <w:tblGrid>
        <w:gridCol w:w="1247"/>
        <w:gridCol w:w="1134"/>
        <w:gridCol w:w="1927"/>
        <w:gridCol w:w="1814"/>
        <w:gridCol w:w="3515"/>
      </w:tblGrid>
      <w:tr>
        <w:trPr>
          <w:cantSplit/>
          <w:tblHeader/>
        </w:trPr>
        <w:tc>
          <w:tcPr>
            <w:tcW w:type="dxa" w:w="124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Сторона</w:t>
            </w:r>
          </w:p>
        </w:tc>
        <w:tc>
          <w:tcPr>
            <w:tcW w:type="dxa" w:w="113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S, м</w:t>
            </w:r>
          </w:p>
        </w:tc>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Дирекц. угол</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Внутр. угол</w:t>
            </w:r>
          </w:p>
        </w:tc>
        <w:tc>
          <w:tcPr>
            <w:tcW w:type="dxa" w:w="3515"/>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Смежный землепользователь</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н1–н2</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21,57</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85°14'26,8"</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90°25'42,9"</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50:28:0090134:4, СНТ «Ветеран-5»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н2–н3</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5,75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86°54'31,1"</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178°19'55,7"</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50:28:0090134:4, СНТ «Ветеран-5»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н3–н4</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37,65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176°05'08,5"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90°49'22,5"</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50:28:0090134:104</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н4–н5</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27,09</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268°45'06,8"</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87°20'01,8"</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50:28:0090134:4, СНТ «Ветеран-5»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н5–н1</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36,15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355°40'09,7"</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93°04'57,1"</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50:28:0090134:10, правообладатель не установлен</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Сумма пяти внутренних углов равна 540,00°, что совпадает с теоретическими 540° в пределах округления секунд. Контур замкнут и не содержит геометрического брака. Угол при точке н2 близок к 178°: точка лежит на северной стороне почти в створе н1–н3 и не является углом поворота между разными собственниками. По акту согласования вся линия н1–н3 относится к одному смежному участку 50:28:0090134:4. Точка н2 — излом границы примерно на 1°40′, а не отдельное смежество. По форме контур близок к четырехугольнику около 37,6 м на 27,1 м с небольшим изломом северной стороны. Для разбивки на местности выносить нужно все пять точек: пропуск н2 сместит северную границу.</w:t>
      </w:r>
    </w:p>
    <w:p>
      <w:pPr>
        <w:spacing w:line="360" w:lineRule="auto" w:before="0" w:after="0"/>
        <w:ind w:firstLine="709" w:left="0"/>
        <w:jc w:val="both"/>
      </w:pPr>
      <w:r>
        <w:rPr>
          <w:rFonts w:ascii="Times New Roman" w:hAnsi="Times New Roman" w:cs="Times New Roman" w:eastAsia="Times New Roman"/>
          <w:b w:val="0"/>
          <w:i w:val="0"/>
          <w:color w:val="000000"/>
          <w:sz w:val="28"/>
        </w:rPr>
        <w:t>Площадь по формуле (2) составила 1 004,99 кв. м. От записанных в ЕГРН и в плане 1 005 кв. м результат отличается на 0,01 кв. м. Отличие возникает из-за округления координат до 0,01 м и при округлении площади до целого квадратного метра исчезает. План указывает площадь 1 005 кв. м и расхождение с площадью по документу, равное нулю. Независимый расчет это подтверждает.</w:t>
      </w:r>
    </w:p>
    <w:p>
      <w:pPr>
        <w:spacing w:line="360" w:lineRule="auto" w:before="0" w:after="0"/>
        <w:ind w:firstLine="709" w:left="0"/>
        <w:jc w:val="both"/>
      </w:pPr>
      <w:r>
        <w:rPr>
          <w:rFonts w:ascii="Times New Roman" w:hAnsi="Times New Roman" w:cs="Times New Roman" w:eastAsia="Times New Roman"/>
          <w:b w:val="0"/>
          <w:i w:val="0"/>
          <w:color w:val="000000"/>
          <w:sz w:val="28"/>
        </w:rPr>
        <w:t>Погрешность площади по формуле (3) при Mt = 0,20 м, как записано в плане и как требует приказ № П/0393 для садоводства, равна 22,19 кв. м. В плане она принята равной 22 кв. м. При не округленном корне Mt = 0,2088 м получается 23,17 кв. м. Если в ту же формулу подставить уже округленное значение 0,209 м, получается 23,19 кв. м. Разница в 0,02 кв. м объясняется только шагом округления Mt, а не двумя разными площадями. Далее используются площадь реестра 1 005 кв. м и допуск плана ±22 кв. м. Допуск составляет 2,2 процента площади.</w:t>
      </w:r>
    </w:p>
    <w:p>
      <w:pPr>
        <w:spacing w:line="360" w:lineRule="auto" w:before="0" w:after="0"/>
        <w:ind w:firstLine="709" w:left="0"/>
        <w:jc w:val="both"/>
      </w:pPr>
      <w:r>
        <w:rPr>
          <w:rFonts w:ascii="Times New Roman" w:hAnsi="Times New Roman" w:cs="Times New Roman" w:eastAsia="Times New Roman"/>
          <w:b w:val="0"/>
          <w:i w:val="0"/>
          <w:color w:val="000000"/>
          <w:sz w:val="28"/>
        </w:rPr>
        <w:t>В деньгах тот же допуск выглядит так. При рыночном показателе из параграфа 2.3 22 кв. м стоят около 31,3 тыс. руб. При кадастровом показателе 3 063,55 руб./кв. м те же 22 кв. м стоят около 67,4 тыс. руб. Обе суммы меньше разрыва между кадастровой и рыночной стоимостью всего участка. Для цены сделки погрешность площади не главное. Главное — не подставить в договор кадастровую стоимость вместо рыночной. Для спора о заборе допуск 0,20 м по точке уже важен, поэтому разбивку делают по каталогу координат, а не по картинке публичной карты.</w:t>
      </w:r>
    </w:p>
    <w:p>
      <w:pPr>
        <w:spacing w:line="360" w:lineRule="auto" w:before="0" w:after="0"/>
        <w:ind w:firstLine="709" w:left="0"/>
        <w:jc w:val="both"/>
      </w:pPr>
      <w:r>
        <w:rPr>
          <w:rFonts w:ascii="Times New Roman" w:hAnsi="Times New Roman" w:cs="Times New Roman" w:eastAsia="Times New Roman"/>
          <w:b w:val="0"/>
          <w:i w:val="0"/>
          <w:color w:val="000000"/>
          <w:sz w:val="28"/>
        </w:rPr>
        <w:t>Контроль геодезической опоры также сошелся со схемой плана. Расстояние от пункта «Шахово» до точки н2 равно 3 174 м, или 3,17 км. На схеме геодезических построений подписано 3,17 км. Подпись относится к характерной точке контура, а не к произвольной величине. Пункт 3 класса использован как исходный, что для спутниковых измерений 2015 года соответствует требованиям к опоре.</w:t>
      </w:r>
    </w:p>
    <w:p>
      <w:pPr>
        <w:spacing w:line="360" w:lineRule="auto" w:before="0" w:after="0"/>
        <w:ind w:firstLine="709" w:left="0"/>
        <w:jc w:val="both"/>
      </w:pPr>
      <w:r>
        <w:rPr>
          <w:rFonts w:ascii="Times New Roman" w:hAnsi="Times New Roman" w:cs="Times New Roman" w:eastAsia="Times New Roman"/>
          <w:b w:val="0"/>
          <w:i w:val="0"/>
          <w:color w:val="000000"/>
          <w:sz w:val="28"/>
        </w:rPr>
        <w:t>Смежества плана и пересечения НСПД описывают один набор участков. Линии н1–н3 и н4–н5 граничат с 50:28:0090134:4, правообладатель — СНТ «Ветеран-5» на праве коллективной совместной собственности, от имени товарищества в акте указан председатель И. В. М. Линия н3–н4 граничит с 50:28:0090134:104, в плане назван смежный правообладатель А. А. Е. Линия н5–н1 граничит с 50:28:0090134:10: вид права, правообладатель и адрес для связи в плане отсутствуют, в акте сделана запись «граница ранее согласована». Возражений по акту нет, спор не зафиксирован [31]. Для рынка согласованный акт повышает пригодность границы. Неустановленный правообладатель на западной стороне остается единственным содержательным дефектом согласования.</w:t>
      </w:r>
    </w:p>
    <w:p>
      <w:pPr>
        <w:spacing w:line="360" w:lineRule="auto" w:before="0" w:after="0"/>
        <w:ind w:firstLine="709" w:left="0"/>
        <w:jc w:val="both"/>
      </w:pPr>
      <w:r>
        <w:rPr>
          <w:rFonts w:ascii="Times New Roman" w:hAnsi="Times New Roman" w:cs="Times New Roman" w:eastAsia="Times New Roman"/>
          <w:b w:val="0"/>
          <w:i w:val="0"/>
          <w:color w:val="000000"/>
          <w:sz w:val="28"/>
        </w:rPr>
        <w:t>По координатам построен чертеж участка (рисунок 2). Он заменяет схематичный лист плана масштаба 1:1 000, на котором контур занимал малую часть листа, и служит разбивочным чертежом: на нем подписаны номера точек, длины сторон, кадастровый номер и смежные участки. Линейный масштаб позволяет снять длину независимо от того, как страница масштабирована при печати. Каталог для выноса точек на местность приведен в приложении Б, увеличенный чертеж — в приложении В.</w:t>
      </w:r>
    </w:p>
    <w:p>
      <w:pPr>
        <w:keepNext/>
        <w:keepLines/>
        <w:spacing w:line="360" w:lineRule="auto" w:before="120" w:after="40"/>
        <w:ind w:firstLine="0" w:left="0"/>
        <w:jc w:val="center"/>
      </w:pPr>
      <w:r>
        <w:drawing>
          <wp:inline xmlns:a="http://schemas.openxmlformats.org/drawingml/2006/main" xmlns:pic="http://schemas.openxmlformats.org/drawingml/2006/picture">
            <wp:extent cx="5328000" cy="6374571"/>
            <wp:docPr id="2" name="Picture 2"/>
            <wp:cNvGraphicFramePr>
              <a:graphicFrameLocks noChangeAspect="1"/>
            </wp:cNvGraphicFramePr>
            <a:graphic>
              <a:graphicData uri="http://schemas.openxmlformats.org/drawingml/2006/picture">
                <pic:pic>
                  <pic:nvPicPr>
                    <pic:cNvPr id="0" name="chertezh.png"/>
                    <pic:cNvPicPr/>
                  </pic:nvPicPr>
                  <pic:blipFill>
                    <a:blip r:embed="rId11"/>
                    <a:stretch>
                      <a:fillRect/>
                    </a:stretch>
                  </pic:blipFill>
                  <pic:spPr>
                    <a:xfrm>
                      <a:off x="0" y="0"/>
                      <a:ext cx="5328000" cy="6374571"/>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2 – Чертеж и разбивка земельного участка 50:28:0000000:51403 по координатам межевого плана</w:t>
      </w:r>
    </w:p>
    <w:p>
      <w:pPr>
        <w:spacing w:line="360" w:lineRule="auto" w:before="0" w:after="0"/>
        <w:ind w:firstLine="709" w:left="0"/>
        <w:jc w:val="both"/>
      </w:pPr>
      <w:r>
        <w:rPr>
          <w:rFonts w:ascii="Times New Roman" w:hAnsi="Times New Roman" w:cs="Times New Roman" w:eastAsia="Times New Roman"/>
          <w:b w:val="0"/>
          <w:i w:val="0"/>
          <w:color w:val="000000"/>
          <w:sz w:val="28"/>
        </w:rPr>
        <w:t>Проверка позволяет сделать промежуточный вывод. Сведения о площади, длинах и контуре внутренне согласованы и совпадают с тем, что ЕГРН и НСПД показывают как 1 005 кв. м и как замкнутый участок среди смежников :4, :10 и :104. Эти сведения пригодны для идентификации объекта, для указания площади в договоре и для разбивки границы. Они не заменяют выписку с координатами из самого реестра: публичная карточка каталог не показывает, и прямое равенство «каждая цифра плана = каждая цифра действующей записи ЕГРН» по координатам в рамках имеющихся материалов не подтверждается и не опровергается. Подтверждается равенство площади и согласованность смежеств.</w:t>
      </w:r>
    </w:p>
    <w:p>
      <w:pPr>
        <w:spacing w:line="360" w:lineRule="auto" w:before="240" w:after="240"/>
        <w:ind w:firstLine="0" w:left="0"/>
        <w:jc w:val="center"/>
      </w:pPr>
      <w:r>
        <w:rPr>
          <w:rFonts w:ascii="Times New Roman" w:hAnsi="Times New Roman" w:cs="Times New Roman" w:eastAsia="Times New Roman"/>
          <w:b/>
          <w:i w:val="0"/>
          <w:color w:val="000000"/>
          <w:sz w:val="28"/>
        </w:rPr>
        <w:t>2.3 Определение рыночной стоимости и достаточность сведений для сделки</w:t>
      </w:r>
    </w:p>
    <w:p>
      <w:pPr>
        <w:spacing w:line="360" w:lineRule="auto" w:before="0" w:after="0"/>
        <w:ind w:firstLine="709" w:left="0"/>
        <w:jc w:val="both"/>
      </w:pPr>
      <w:r>
        <w:rPr>
          <w:rFonts w:ascii="Times New Roman" w:hAnsi="Times New Roman" w:cs="Times New Roman" w:eastAsia="Times New Roman"/>
          <w:b w:val="0"/>
          <w:i w:val="0"/>
          <w:color w:val="000000"/>
          <w:sz w:val="28"/>
        </w:rPr>
        <w:t>Определение стоимости выполнено в учебных целях по структуре сравнительного расчета. Вид стоимости — рыночная. Дата оценки — 19.10.2026. Объект описан в таблице 5 только теми сведениями, которые подтверждены карточкой Росреестра, НСПД или межевым планом. Площадь — 1 005 кв. м (10,05 сотки). Предполагаемое использование совпадает с разрешенным. Улучшения в расчет не включались. Коммуникации сведениями ЕГРН не описываются и приняты как неподтвержденные. Результат не заменяет отчет оценщика, состоящего в саморегулируемой организации, и не является основанием для пересмотра кадастровой стоимости по Федеральному закону № 237-ФЗ [5; 6].</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5 – Описание объекта оценки для сравнительного расчета</w:t>
      </w:r>
    </w:p>
    <w:tbl>
      <w:tblPr>
        <w:tblW w:type="dxa" w:w="9639"/>
        <w:jc w:val="center"/>
        <w:tblLayout w:type="fixed"/>
        <w:tblLook w:firstColumn="1" w:firstRow="1" w:lastColumn="0" w:lastRow="0" w:noHBand="0" w:noVBand="1" w:val="04A0"/>
      </w:tblPr>
      <w:tblGrid>
        <w:gridCol w:w="3685"/>
        <w:gridCol w:w="5953"/>
      </w:tblGrid>
      <w:tr>
        <w:trPr>
          <w:cantSplit/>
          <w:tblHeader/>
        </w:trPr>
        <w:tc>
          <w:tcPr>
            <w:tcW w:type="dxa" w:w="3685"/>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Показатель</w:t>
            </w:r>
          </w:p>
        </w:tc>
        <w:tc>
          <w:tcPr>
            <w:tcW w:type="dxa" w:w="5953"/>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Значение по участку 50:28:0000000:51403</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Вид объекта</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Земельный участок, землепользование</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Кадастровый номер</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50:28:0000000:51403</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1 005 кв. м (10,05 сотки), допуск ±22 кв. м</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Категория земель</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Земли сельскохозяйственного назначения</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Вид разрешенного использования</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Для садоводства</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Адрес</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 о. Домодедово, тер. СНТ «Ветеран-5», з/у 7</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Право</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Частная собственность, запись от 22.03.2016</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Кадастровая стоимость</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 руб. на 01.01.2022</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Обременения</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открытой карточке не раскрыты</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Улучшения</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межевом плане и карточке не указаны</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Коммуникации</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Сведениями ЕГРН не подтверждены</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Подъезд и взносы СНТ</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Из сведений ЕГРН не следуют</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Затратный подход не применялся: свободный земельный участок нельзя заменить себестоимостью создания земли [16; 21]. Доходный подход не применялся, потому что арендной платы и иных сведений о доходе нет. Это требование ФСО V [11], а не вывод из статьи о доходном подходе при массовой оценке земель другого назначения [19]. Подставлять вместо дохода кадастровую стоимость нельзя. Использован сравнительный подход, он же предусмотрен ФСО V [11]. Поправки записаны коэффициентами. Коэффициент 1,00 означает, что элемент у аналога и у объекта совпадает. Справочника поправок по садовым участкам Домодедово в открытом доступе нет, поэтому коэффициенты 0,85; 0,88; 0,90; 0,92; 0,95 и 1,03 и веса 0,20; 0,30; 0,50 — экспертные допущения учебной работы. Они названы явно, чтобы расчет можно было повторить и оспорить.</w:t>
      </w:r>
    </w:p>
    <w:p>
      <w:pPr>
        <w:spacing w:line="360" w:lineRule="auto" w:before="0" w:after="0"/>
        <w:ind w:firstLine="709" w:left="0"/>
        <w:jc w:val="both"/>
      </w:pPr>
      <w:r>
        <w:rPr>
          <w:rFonts w:ascii="Times New Roman" w:hAnsi="Times New Roman" w:cs="Times New Roman" w:eastAsia="Times New Roman"/>
          <w:b w:val="0"/>
          <w:i w:val="0"/>
          <w:color w:val="000000"/>
          <w:sz w:val="28"/>
        </w:rPr>
        <w:t>Участок относится к городскому округу Домодедово, СНТ «Ветеран-5». В межевом плане рядом названа деревня Соломахово. Средняя цена сотки по всему округу для этого участка не годится: в таких сводках смешаны участки под индивидуальную застройку и коттеджные поселки, и цена часто выше 400 тыс. руб. за сотку. Для расчета нужны садовые участки того же округа. Дом в цену входить не должен. Если в объявлении есть гараж или колодец, это снимается отдельной поправкой.</w:t>
      </w:r>
    </w:p>
    <w:p>
      <w:pPr>
        <w:spacing w:line="360" w:lineRule="auto" w:before="0" w:after="0"/>
        <w:ind w:firstLine="709" w:left="0"/>
        <w:jc w:val="both"/>
      </w:pPr>
      <w:r>
        <w:rPr>
          <w:rFonts w:ascii="Times New Roman" w:hAnsi="Times New Roman" w:cs="Times New Roman" w:eastAsia="Times New Roman"/>
          <w:b w:val="0"/>
          <w:i w:val="0"/>
          <w:color w:val="000000"/>
          <w:sz w:val="28"/>
        </w:rPr>
        <w:t>Аналоги взяты из трех объявлений ЦИАН, открытых 19.10.2026 [32]. Дома в цену не входят. Ближе всех к объекту объявление из того же товарищества.</w:t>
      </w:r>
    </w:p>
    <w:p>
      <w:pPr>
        <w:spacing w:line="360" w:lineRule="auto" w:before="0" w:after="0"/>
        <w:ind w:firstLine="709" w:left="0"/>
        <w:jc w:val="both"/>
      </w:pPr>
      <w:r>
        <w:rPr>
          <w:rFonts w:ascii="Times New Roman" w:hAnsi="Times New Roman" w:cs="Times New Roman" w:eastAsia="Times New Roman"/>
          <w:b w:val="0"/>
          <w:i w:val="0"/>
          <w:color w:val="000000"/>
          <w:sz w:val="28"/>
        </w:rPr>
        <w:t>Аналог 1, объявление 330889759: СНТ «Аякс», участок 22, 11 соток, цена 3 000 000 руб., или 272 727 руб. за сотку. Категория земель — земли населенных пунктов, использование — садоводство. Электричество есть, магистральный газ проходит по границе. По шоссе А-105 до МКАД указано 35 км, по Симферопольскому — 50 км. В тексте написано, что торг уместен. Объявление обновлено 28.09.2026.</w:t>
      </w:r>
    </w:p>
    <w:p>
      <w:pPr>
        <w:spacing w:line="360" w:lineRule="auto" w:before="0" w:after="0"/>
        <w:ind w:firstLine="709" w:left="0"/>
        <w:jc w:val="both"/>
      </w:pPr>
      <w:r>
        <w:rPr>
          <w:rFonts w:ascii="Times New Roman" w:hAnsi="Times New Roman" w:cs="Times New Roman" w:eastAsia="Times New Roman"/>
          <w:b w:val="0"/>
          <w:i w:val="0"/>
          <w:color w:val="000000"/>
          <w:sz w:val="28"/>
        </w:rPr>
        <w:t>Аналог 2, объявление 329905960: СНТ «Борисово-2», 10 соток, цена 1 300 000 руб., или 130 000 руб. за сотку. Категория — земли сельскохозяйственного назначения, использование — садоводство, как у объекта. Коммуникации в карточке объявления не заполнены. По шоссе А-105 до МКАД указано 41 км, по Новорязанскому — 56 км. При просмотре 19.10.2026 на странице стояла пометка об обновлении накануне.</w:t>
      </w:r>
    </w:p>
    <w:p>
      <w:pPr>
        <w:spacing w:line="360" w:lineRule="auto" w:before="0" w:after="0"/>
        <w:ind w:firstLine="709" w:left="0"/>
        <w:jc w:val="both"/>
      </w:pPr>
      <w:r>
        <w:rPr>
          <w:rFonts w:ascii="Times New Roman" w:hAnsi="Times New Roman" w:cs="Times New Roman" w:eastAsia="Times New Roman"/>
          <w:b w:val="0"/>
          <w:i w:val="0"/>
          <w:color w:val="000000"/>
          <w:sz w:val="28"/>
        </w:rPr>
        <w:t>Аналог 3, объявление 331691566: тот же СНТ «Ветеран-5», участок 79, 10 соток, цена 1 700 000 руб., или 170 000 руб. за сотку. В карточке указано садоводство, категория земель не названа. Собственник один. Межевание сделано в апреле 2026 года. На участке колодец, летний водопровод, уличный туалет и гараж из газоблоков 9×4 м. Электричество есть, газа нет. По шоссе А-105 до МКАД указано 40 км, по Новокаширскому — 43 км. Объявление обновлено 03.08.2026.</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6 – Аналоги из объявлений ЦИАН, просмотренные 19.10.2026</w:t>
      </w:r>
    </w:p>
    <w:tbl>
      <w:tblPr>
        <w:tblW w:type="dxa" w:w="9639"/>
        <w:jc w:val="center"/>
        <w:tblLayout w:type="fixed"/>
        <w:tblLook w:firstColumn="1" w:firstRow="1" w:lastColumn="0" w:lastRow="0" w:noHBand="0" w:noVBand="1" w:val="04A0"/>
      </w:tblPr>
      <w:tblGrid>
        <w:gridCol w:w="1587"/>
        <w:gridCol w:w="1644"/>
        <w:gridCol w:w="2154"/>
        <w:gridCol w:w="2097"/>
        <w:gridCol w:w="2154"/>
      </w:tblGrid>
      <w:tr>
        <w:trPr>
          <w:cantSplit/>
          <w:tblHeader/>
        </w:trPr>
        <w:tc>
          <w:tcPr>
            <w:tcW w:type="dxa" w:w="158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Показатель</w:t>
            </w:r>
          </w:p>
        </w:tc>
        <w:tc>
          <w:tcPr>
            <w:tcW w:type="dxa" w:w="164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Объект оценки</w:t>
            </w:r>
          </w:p>
        </w:tc>
        <w:tc>
          <w:tcPr>
            <w:tcW w:type="dxa" w:w="215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1, № 330889759</w:t>
            </w:r>
          </w:p>
        </w:tc>
        <w:tc>
          <w:tcPr>
            <w:tcW w:type="dxa" w:w="209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2, № 329905960</w:t>
            </w:r>
          </w:p>
        </w:tc>
        <w:tc>
          <w:tcPr>
            <w:tcW w:type="dxa" w:w="215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3, № 331691566</w:t>
            </w:r>
          </w:p>
        </w:tc>
      </w:tr>
      <w:tr>
        <w:trPr>
          <w:cantSplit/>
        </w:trPr>
        <w:tc>
          <w:tcPr>
            <w:tcW w:type="dxa" w:w="158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Место</w:t>
            </w:r>
          </w:p>
        </w:tc>
        <w:tc>
          <w:tcPr>
            <w:tcW w:type="dxa" w:w="164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СНТ «Ветеран-5», уч. 7</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СНТ «Аякс», уч. 22</w:t>
            </w:r>
          </w:p>
        </w:tc>
        <w:tc>
          <w:tcPr>
            <w:tcW w:type="dxa" w:w="209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СНТ «Борисово-2»</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СНТ «Ветеран-5», уч. 79</w:t>
            </w:r>
          </w:p>
        </w:tc>
      </w:tr>
      <w:tr>
        <w:trPr>
          <w:cantSplit/>
        </w:trPr>
        <w:tc>
          <w:tcPr>
            <w:tcW w:type="dxa" w:w="158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 соток</w:t>
            </w:r>
          </w:p>
        </w:tc>
        <w:tc>
          <w:tcPr>
            <w:tcW w:type="dxa" w:w="164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10,05</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11</w:t>
            </w:r>
          </w:p>
        </w:tc>
        <w:tc>
          <w:tcPr>
            <w:tcW w:type="dxa" w:w="209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w:t>
            </w:r>
          </w:p>
        </w:tc>
      </w:tr>
      <w:tr>
        <w:trPr>
          <w:cantSplit/>
        </w:trPr>
        <w:tc>
          <w:tcPr>
            <w:tcW w:type="dxa" w:w="158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Цена, руб.</w:t>
            </w:r>
          </w:p>
        </w:tc>
        <w:tc>
          <w:tcPr>
            <w:tcW w:type="dxa" w:w="164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определяется</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3 000 000</w:t>
            </w:r>
          </w:p>
        </w:tc>
        <w:tc>
          <w:tcPr>
            <w:tcW w:type="dxa" w:w="209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1 300 000</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1 700 000</w:t>
            </w:r>
          </w:p>
        </w:tc>
      </w:tr>
      <w:tr>
        <w:trPr>
          <w:cantSplit/>
        </w:trPr>
        <w:tc>
          <w:tcPr>
            <w:tcW w:type="dxa" w:w="158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Руб. за сотку</w:t>
            </w:r>
          </w:p>
        </w:tc>
        <w:tc>
          <w:tcPr>
            <w:tcW w:type="dxa" w:w="164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определяется</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272 727</w:t>
            </w:r>
          </w:p>
        </w:tc>
        <w:tc>
          <w:tcPr>
            <w:tcW w:type="dxa" w:w="209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130 000</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170 000</w:t>
            </w:r>
          </w:p>
        </w:tc>
      </w:tr>
      <w:tr>
        <w:trPr>
          <w:cantSplit/>
        </w:trPr>
        <w:tc>
          <w:tcPr>
            <w:tcW w:type="dxa" w:w="158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Категория земель</w:t>
            </w:r>
          </w:p>
        </w:tc>
        <w:tc>
          <w:tcPr>
            <w:tcW w:type="dxa" w:w="164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с.-х. назначения</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населенных пунктов</w:t>
            </w:r>
          </w:p>
        </w:tc>
        <w:tc>
          <w:tcPr>
            <w:tcW w:type="dxa" w:w="209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с.-х. назначения</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не указана</w:t>
            </w:r>
          </w:p>
        </w:tc>
      </w:tr>
      <w:tr>
        <w:trPr>
          <w:cantSplit/>
        </w:trPr>
        <w:tc>
          <w:tcPr>
            <w:tcW w:type="dxa" w:w="158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Использование</w:t>
            </w:r>
          </w:p>
        </w:tc>
        <w:tc>
          <w:tcPr>
            <w:tcW w:type="dxa" w:w="164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для садоводства</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садоводство</w:t>
            </w:r>
          </w:p>
        </w:tc>
        <w:tc>
          <w:tcPr>
            <w:tcW w:type="dxa" w:w="209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садоводство</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садоводство</w:t>
            </w:r>
          </w:p>
        </w:tc>
      </w:tr>
      <w:tr>
        <w:trPr>
          <w:cantSplit/>
        </w:trPr>
        <w:tc>
          <w:tcPr>
            <w:tcW w:type="dxa" w:w="158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Коммуникации</w:t>
            </w:r>
          </w:p>
        </w:tc>
        <w:tc>
          <w:tcPr>
            <w:tcW w:type="dxa" w:w="164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ЕГРН не указаны</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свет есть, газ по границе</w:t>
            </w:r>
          </w:p>
        </w:tc>
        <w:tc>
          <w:tcPr>
            <w:tcW w:type="dxa" w:w="209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не указаны</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свет есть, колодец, газа нет</w:t>
            </w:r>
          </w:p>
        </w:tc>
      </w:tr>
      <w:tr>
        <w:trPr>
          <w:cantSplit/>
        </w:trPr>
        <w:tc>
          <w:tcPr>
            <w:tcW w:type="dxa" w:w="158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Шоссе А-105</w:t>
            </w:r>
          </w:p>
        </w:tc>
        <w:tc>
          <w:tcPr>
            <w:tcW w:type="dxa" w:w="164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ЕГРН не указано</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35 км от МКАД</w:t>
            </w:r>
          </w:p>
        </w:tc>
        <w:tc>
          <w:tcPr>
            <w:tcW w:type="dxa" w:w="209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41 км от МКАД</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40 км от МКАД</w:t>
            </w:r>
          </w:p>
        </w:tc>
      </w:tr>
      <w:tr>
        <w:trPr>
          <w:cantSplit/>
        </w:trPr>
        <w:tc>
          <w:tcPr>
            <w:tcW w:type="dxa" w:w="158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Граница</w:t>
            </w:r>
          </w:p>
        </w:tc>
        <w:tc>
          <w:tcPr>
            <w:tcW w:type="dxa" w:w="164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план 2015 г.</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не указана</w:t>
            </w:r>
          </w:p>
        </w:tc>
        <w:tc>
          <w:tcPr>
            <w:tcW w:type="dxa" w:w="209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не указана</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межевание, апрель 2026 г.</w:t>
            </w:r>
          </w:p>
        </w:tc>
      </w:tr>
      <w:tr>
        <w:trPr>
          <w:cantSplit/>
        </w:trPr>
        <w:tc>
          <w:tcPr>
            <w:tcW w:type="dxa" w:w="158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Улучшения</w:t>
            </w:r>
          </w:p>
        </w:tc>
        <w:tc>
          <w:tcPr>
            <w:tcW w:type="dxa" w:w="164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ЕГРН не указаны</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дома нет</w:t>
            </w:r>
          </w:p>
        </w:tc>
        <w:tc>
          <w:tcPr>
            <w:tcW w:type="dxa" w:w="209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дома нет</w:t>
            </w:r>
          </w:p>
        </w:tc>
        <w:tc>
          <w:tcPr>
            <w:tcW w:type="dxa" w:w="215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гараж 9×4 м, уличный туалет</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Поправки выбраны так, чтобы расчет можно было повторить по таблице 6. На торг по аналогу 1 взят коэффициент 0,92: продавец пишет, что торг уместен. По аналогам 2 и 3 такого указания нет, коэффициент 0,95. Это цены объявлений, а не цены сделок.</w:t>
      </w:r>
    </w:p>
    <w:p>
      <w:pPr>
        <w:spacing w:line="360" w:lineRule="auto" w:before="0" w:after="0"/>
        <w:ind w:firstLine="709" w:left="0"/>
        <w:jc w:val="both"/>
      </w:pPr>
      <w:r>
        <w:rPr>
          <w:rFonts w:ascii="Times New Roman" w:hAnsi="Times New Roman" w:cs="Times New Roman" w:eastAsia="Times New Roman"/>
          <w:b w:val="0"/>
          <w:i w:val="0"/>
          <w:color w:val="000000"/>
          <w:sz w:val="28"/>
        </w:rPr>
        <w:t>Категория земель у аналога 1 — населенные пункты, у объекта — сельскохозяйственное назначение. Цена аналога 1 снижена на 15 процентов, коэффициент 0,85. У аналога 2 категория совпадает с объектом, коэффициент 1,00. У аналога 3 категория в объявлении не названа, но участок лежит в том же СНТ и тоже отнесен к садоводству, поэтому коэффициент 1,00.</w:t>
      </w:r>
    </w:p>
    <w:p>
      <w:pPr>
        <w:spacing w:line="360" w:lineRule="auto" w:before="0" w:after="0"/>
        <w:ind w:firstLine="709" w:left="0"/>
        <w:jc w:val="both"/>
      </w:pPr>
      <w:r>
        <w:rPr>
          <w:rFonts w:ascii="Times New Roman" w:hAnsi="Times New Roman" w:cs="Times New Roman" w:eastAsia="Times New Roman"/>
          <w:b w:val="0"/>
          <w:i w:val="0"/>
          <w:color w:val="000000"/>
          <w:sz w:val="28"/>
        </w:rPr>
        <w:t>Коммуникации объекта в ЕГРН не указаны. У аналога 1 есть электричество и газ по границе, коэффициент 0,88. У аналога 2 сети не указаны, коэффициент 1,00. У аналога 3 электричество и колодец учтены коэффициентом 0,90, газа нет. Площади 11 и 10 соток близки к 10,05 сотки, поправка на площадь не вводилась. По местоположению коэффициент 1,00 у всех трех. Объявления указывают 35, 41 и 40 км от МКАД по шоссе А-105, то есть один южный участок округа Домодедово. Расстояние самого объекта до МКАД в ЕГРН не указано, поэтому километровая поправка не из чего выводилась бы. Близость аналога 3 учтена не коэффициентом места, а весом 0,50.</w:t>
      </w:r>
    </w:p>
    <w:p>
      <w:pPr>
        <w:spacing w:line="360" w:lineRule="auto" w:before="0" w:after="0"/>
        <w:ind w:firstLine="709" w:left="0"/>
        <w:jc w:val="both"/>
      </w:pPr>
      <w:r>
        <w:rPr>
          <w:rFonts w:ascii="Times New Roman" w:hAnsi="Times New Roman" w:cs="Times New Roman" w:eastAsia="Times New Roman"/>
          <w:b w:val="0"/>
          <w:i w:val="0"/>
          <w:color w:val="000000"/>
          <w:sz w:val="28"/>
        </w:rPr>
        <w:t>Граница объекта уточнена планом 2015 года. В объявлениях 1 и 2 об этом ничего нет, к ним добавлено 3 процента, коэффициент 1,03. У аналога 3 межевание сделано в апреле 2026 года, коэффициент 1,00. Колодец и электричество аналога 3 уже учтены поправкой на коммуникации. Отдельно, коэффициентом 0,90, сняты только гараж 9×4 м и уличный туалет: это улучшения, а не сети. Летний водопровод к колодцу второй раз не корректировался, чтобы одно и то же благоустройство не учесть дважды. К аналогам 1 и 2 такая поправка не нужна.</w:t>
      </w:r>
    </w:p>
    <w:p>
      <w:pPr>
        <w:spacing w:line="360" w:lineRule="auto" w:before="0" w:after="0"/>
        <w:ind w:firstLine="709" w:left="0"/>
        <w:jc w:val="both"/>
      </w:pPr>
      <w:r>
        <w:rPr>
          <w:rFonts w:ascii="Times New Roman" w:hAnsi="Times New Roman" w:cs="Times New Roman" w:eastAsia="Times New Roman"/>
          <w:b w:val="0"/>
          <w:i w:val="0"/>
          <w:color w:val="000000"/>
          <w:sz w:val="28"/>
        </w:rPr>
        <w:t>Коэффициенты и веса приведены в таблице 7. Наибольший вес 0,50 отдан аналогу 3: то же товарищество, почти та же площадь, садоводство и свежее межевание. Аналогу 2 оставлен вес 0,30: та же категория земель и близкая площадь, но другое СНТ. Аналогу 1 оставлен вес 0,20. После поправок на категорию и сети его цена не отбрасывается, но опираться на нее как на главный ориентир нельзя.</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7 – Коэффициенты корректировки удельных цен аналогов</w:t>
      </w:r>
    </w:p>
    <w:tbl>
      <w:tblPr>
        <w:tblW w:type="dxa" w:w="9639"/>
        <w:jc w:val="center"/>
        <w:tblLayout w:type="fixed"/>
        <w:tblLook w:firstColumn="1" w:firstRow="1" w:lastColumn="0" w:lastRow="0" w:noHBand="0" w:noVBand="1" w:val="04A0"/>
      </w:tblPr>
      <w:tblGrid>
        <w:gridCol w:w="2268"/>
        <w:gridCol w:w="1814"/>
        <w:gridCol w:w="1871"/>
        <w:gridCol w:w="1814"/>
        <w:gridCol w:w="1871"/>
      </w:tblGrid>
      <w:tr>
        <w:trPr>
          <w:cantSplit/>
          <w:tblHeader/>
        </w:trPr>
        <w:tc>
          <w:tcPr>
            <w:tcW w:type="dxa" w:w="226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Элемент сравнения</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Объект</w:t>
            </w:r>
          </w:p>
        </w:tc>
        <w:tc>
          <w:tcPr>
            <w:tcW w:type="dxa" w:w="187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1</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2</w:t>
            </w:r>
          </w:p>
        </w:tc>
        <w:tc>
          <w:tcPr>
            <w:tcW w:type="dxa" w:w="187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3</w:t>
            </w:r>
          </w:p>
        </w:tc>
      </w:tr>
      <w:tr>
        <w:trPr>
          <w:cantSplit/>
        </w:trPr>
        <w:tc>
          <w:tcPr>
            <w:tcW w:type="dxa" w:w="226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Цена, руб./сотка</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определяется</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272 727</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130 000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170 000</w:t>
            </w:r>
          </w:p>
        </w:tc>
      </w:tr>
      <w:tr>
        <w:trPr>
          <w:cantSplit/>
        </w:trPr>
        <w:tc>
          <w:tcPr>
            <w:tcW w:type="dxa" w:w="226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Передаваемые права</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r>
      <w:tr>
        <w:trPr>
          <w:cantSplit/>
        </w:trPr>
        <w:tc>
          <w:tcPr>
            <w:tcW w:type="dxa" w:w="226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Финансирование</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r>
      <w:tr>
        <w:trPr>
          <w:cantSplit/>
        </w:trPr>
        <w:tc>
          <w:tcPr>
            <w:tcW w:type="dxa" w:w="226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Условия продажи, торг</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0,92</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0,95</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0,95</w:t>
            </w:r>
          </w:p>
        </w:tc>
      </w:tr>
      <w:tr>
        <w:trPr>
          <w:cantSplit/>
        </w:trPr>
        <w:tc>
          <w:tcPr>
            <w:tcW w:type="dxa" w:w="226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Дата предложения</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r>
      <w:tr>
        <w:trPr>
          <w:cantSplit/>
        </w:trPr>
        <w:tc>
          <w:tcPr>
            <w:tcW w:type="dxa" w:w="226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Местоположение</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r>
      <w:tr>
        <w:trPr>
          <w:cantSplit/>
        </w:trPr>
        <w:tc>
          <w:tcPr>
            <w:tcW w:type="dxa" w:w="226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r>
      <w:tr>
        <w:trPr>
          <w:cantSplit/>
        </w:trPr>
        <w:tc>
          <w:tcPr>
            <w:tcW w:type="dxa" w:w="226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Категория земель</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0,85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r>
      <w:tr>
        <w:trPr>
          <w:cantSplit/>
        </w:trPr>
        <w:tc>
          <w:tcPr>
            <w:tcW w:type="dxa" w:w="226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Коммуникации</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0,88</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0,90</w:t>
            </w:r>
          </w:p>
        </w:tc>
      </w:tr>
      <w:tr>
        <w:trPr>
          <w:cantSplit/>
        </w:trPr>
        <w:tc>
          <w:tcPr>
            <w:tcW w:type="dxa" w:w="226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Готовность границы</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1,03</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1,03</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r>
      <w:tr>
        <w:trPr>
          <w:cantSplit/>
        </w:trPr>
        <w:tc>
          <w:tcPr>
            <w:tcW w:type="dxa" w:w="226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Улучшения</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0,90</w:t>
            </w:r>
          </w:p>
        </w:tc>
      </w:tr>
      <w:tr>
        <w:trPr>
          <w:cantSplit/>
        </w:trPr>
        <w:tc>
          <w:tcPr>
            <w:tcW w:type="dxa" w:w="226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Цена после корректировок</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142 231</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193 310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127 205</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130 815</w:t>
            </w:r>
          </w:p>
        </w:tc>
      </w:tr>
      <w:tr>
        <w:trPr>
          <w:cantSplit/>
        </w:trPr>
        <w:tc>
          <w:tcPr>
            <w:tcW w:type="dxa" w:w="226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Вес</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0,30</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0,50</w:t>
            </w:r>
          </w:p>
        </w:tc>
      </w:tr>
      <w:tr>
        <w:trPr>
          <w:cantSplit/>
        </w:trPr>
        <w:tc>
          <w:tcPr>
            <w:tcW w:type="dxa" w:w="226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Вклад, руб./сотка</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142 231</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38 662</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38 161,5</w:t>
            </w:r>
          </w:p>
        </w:tc>
        <w:tc>
          <w:tcPr>
            <w:tcW w:type="dxa" w:w="187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65 407,5</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Для аналога 1 произведение коэффициентов равно 0,92 × 0,85 × 0,88 × 1,03 = 0,70880. Умножение на 272 727 руб. за сотку дает 193 310 руб. за сотку. Для аналога 2 произведение равно 0,95 × 1,03 = 0,97850, и 130 000 × 0,97850 = 127 205 руб. за сотку. Для аналога 3 произведение равно 0,95 × 0,90 × 0,90 = 0,76950, и 170 000 × 0,76950 = 130 815 руб. за сотку.</w:t>
      </w:r>
    </w:p>
    <w:p>
      <w:pPr>
        <w:spacing w:line="360" w:lineRule="auto" w:before="0" w:after="0"/>
        <w:ind w:firstLine="709" w:left="0"/>
        <w:jc w:val="both"/>
      </w:pPr>
      <w:r>
        <w:rPr>
          <w:rFonts w:ascii="Times New Roman" w:hAnsi="Times New Roman" w:cs="Times New Roman" w:eastAsia="Times New Roman"/>
          <w:b w:val="0"/>
          <w:i w:val="0"/>
          <w:color w:val="000000"/>
          <w:sz w:val="28"/>
        </w:rPr>
        <w:t>Вклады равны 0,20 × 193 310 = 38 662 руб., 0,30 × 127 205 = 38 161,5 руб. и 0,50 × 130 815 = 65 407,5 руб. Сумма вкладов — 142 231 руб. за сотку. Округление половинок до целого рубля дало бы 142 232 и разошлось бы с точной суммой на 1 руб., поэтому половины оставлены. Произведение 142 231 × 10,05 = 1 429 421,55 руб. Цены взяты из объявлений, поэтому итог округлен до тысяч: 1 429 000 руб. на 19.10.2026. От принятой суммы удельный показатель равен 1 429 000 / 1 005 = 1 421,89 руб./кв. м и 1 429 000 / 10,05 = 142 189 руб. за сотку. Набор ограничен тремя объявлениями на дату оценки. Аналог 1 лежит в другом товариществе, на землях населенных пунктов и с газом у границы, поэтому его вес снижен до 0,20.</w:t>
      </w:r>
    </w:p>
    <w:p>
      <w:pPr>
        <w:spacing w:line="360" w:lineRule="auto" w:before="0" w:after="0"/>
        <w:ind w:firstLine="709" w:left="0"/>
        <w:jc w:val="both"/>
      </w:pPr>
      <w:r>
        <w:rPr>
          <w:rFonts w:ascii="Times New Roman" w:hAnsi="Times New Roman" w:cs="Times New Roman" w:eastAsia="Times New Roman"/>
          <w:b w:val="0"/>
          <w:i w:val="0"/>
          <w:color w:val="000000"/>
          <w:sz w:val="28"/>
        </w:rPr>
        <w:t>Без поправок перенос цен на 10,05 сотки дает примерно от 1 307 000 руб. по аналогу 2 до 2 741 000 руб. по аналогу 1. Цена аналога 3 на ту же площадь — около 1 709 000 руб. Итог 1 429 000 руб. лежит внутри этого интервала. Расчет относится к садовому участку 50:28:0000000:51403.</w:t>
      </w:r>
    </w:p>
    <w:p>
      <w:pPr>
        <w:spacing w:line="360" w:lineRule="auto" w:before="0" w:after="0"/>
        <w:ind w:firstLine="709" w:left="0"/>
        <w:jc w:val="both"/>
      </w:pPr>
      <w:r>
        <w:rPr>
          <w:rFonts w:ascii="Times New Roman" w:hAnsi="Times New Roman" w:cs="Times New Roman" w:eastAsia="Times New Roman"/>
          <w:b w:val="0"/>
          <w:i w:val="0"/>
          <w:color w:val="000000"/>
          <w:sz w:val="28"/>
        </w:rPr>
        <w:t>Кадастровая стоимость того же участка — 3 078 864,73 руб., удельный показатель — 3 063,55 руб./кв. м. Отношение 3 078 864,73 / 1 429 000 = 2,15. Кадастровая стоимость выше рыночной примерно в два раза. Удельные показатели показаны на рисунке 3.</w:t>
      </w:r>
    </w:p>
    <w:p>
      <w:pPr>
        <w:keepNext/>
        <w:keepLines/>
        <w:spacing w:line="360" w:lineRule="auto" w:before="120" w:after="40"/>
        <w:ind w:firstLine="0" w:left="0"/>
        <w:jc w:val="center"/>
      </w:pPr>
      <w:r>
        <w:drawing>
          <wp:inline xmlns:a="http://schemas.openxmlformats.org/drawingml/2006/main" xmlns:pic="http://schemas.openxmlformats.org/drawingml/2006/picture">
            <wp:extent cx="5112000" cy="2706353"/>
            <wp:docPr id="3" name="Picture 3"/>
            <wp:cNvGraphicFramePr>
              <a:graphicFrameLocks noChangeAspect="1"/>
            </wp:cNvGraphicFramePr>
            <a:graphic>
              <a:graphicData uri="http://schemas.openxmlformats.org/drawingml/2006/picture">
                <pic:pic>
                  <pic:nvPicPr>
                    <pic:cNvPr id="0" name="values.png"/>
                    <pic:cNvPicPr/>
                  </pic:nvPicPr>
                  <pic:blipFill>
                    <a:blip r:embed="rId12"/>
                    <a:stretch>
                      <a:fillRect/>
                    </a:stretch>
                  </pic:blipFill>
                  <pic:spPr>
                    <a:xfrm>
                      <a:off x="0" y="0"/>
                      <a:ext cx="5112000" cy="2706353"/>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3 – Удельные показатели кадастровой и рыночной стоимости участка 50:28:0000000:51403</w:t>
      </w:r>
    </w:p>
    <w:p>
      <w:pPr>
        <w:spacing w:line="360" w:lineRule="auto" w:before="0" w:after="0"/>
        <w:ind w:firstLine="709" w:left="0"/>
        <w:jc w:val="both"/>
      </w:pPr>
      <w:r>
        <w:rPr>
          <w:rFonts w:ascii="Times New Roman" w:hAnsi="Times New Roman" w:cs="Times New Roman" w:eastAsia="Times New Roman"/>
          <w:b w:val="0"/>
          <w:i w:val="0"/>
          <w:color w:val="000000"/>
          <w:sz w:val="28"/>
        </w:rPr>
        <w:t>Разрыв сам по себе не доказывает ошибку в арифметике кадастровой записи. УПКС сходится с площадью, дата определения относится к циклу государственной кадастровой оценки 2022 года, категория и вид использования соответствуют садоводству [10; 12]. Массовый показатель группы видов использования не совпал с ценами трех садовых объявлений округа на 19.10.2026. ЕГРН здесь хранит кадастровую стоимость и не хранит цену сделки. Если назначить цену 3,08 млн руб. по карточке, в договор попадет налоговая величина на 01.01.2022, а не цена, которую видно по объявлениям.</w:t>
      </w:r>
    </w:p>
    <w:p>
      <w:pPr>
        <w:spacing w:line="360" w:lineRule="auto" w:before="0" w:after="0"/>
        <w:ind w:firstLine="709" w:left="0"/>
        <w:jc w:val="both"/>
      </w:pPr>
      <w:r>
        <w:rPr>
          <w:rFonts w:ascii="Times New Roman" w:hAnsi="Times New Roman" w:cs="Times New Roman" w:eastAsia="Times New Roman"/>
          <w:b w:val="0"/>
          <w:i w:val="0"/>
          <w:color w:val="000000"/>
          <w:sz w:val="28"/>
        </w:rPr>
        <w:t>Земельный налог считается от кадастровой стоимости. Ставку устанавливает решение Совета депутатов городского округа Домодедово от 25.09.2007 № 1-4/53 [13]. До 1 января 2025 года для садоводства в этом решении была ставка 0,15 процента: 3 078 864,73 × 0,0015 = 4 618,30 руб. в год. Решением того же Совета от 23.10.2024 № 1-4/1486 пункт о ставках изложен заново и применяется с 01.01.2025. Для участка, приобретенного для садоводства и не используемого в предпринимательской деятельности, ставка равна 0,3 процента. Налог по действующей ставке: 3 078 864,73 × 0,003 = 9 236,59 руб. в год. Если бы базой была рыночная стоимость, налог составил бы 1 429 000 × 0,003 = 4 287 руб. Разница — 4 949,59 руб. в год. Установить кадастровую стоимость в размере рыночной можно по статье 66 Земельного кодекса и закону № 237-ФЗ [1; 5], но для этого нужен отчет оценщика по закону № 135-ФЗ [6]. При разнице около 5 тыс. руб. в год такой отчет за короткий срок владения не окупается. Для налога остается кадастровая стоимость, для цены продажи — рынок.</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8 – Кадастровая и рыночная величины по одному участку</w:t>
      </w:r>
    </w:p>
    <w:tbl>
      <w:tblPr>
        <w:tblW w:type="dxa" w:w="9639"/>
        <w:jc w:val="center"/>
        <w:tblLayout w:type="fixed"/>
        <w:tblLook w:firstColumn="1" w:firstRow="1" w:lastColumn="0" w:lastRow="0" w:noHBand="0" w:noVBand="1" w:val="04A0"/>
      </w:tblPr>
      <w:tblGrid>
        <w:gridCol w:w="3402"/>
        <w:gridCol w:w="3118"/>
        <w:gridCol w:w="3118"/>
      </w:tblGrid>
      <w:tr>
        <w:trPr>
          <w:cantSplit/>
          <w:tblHeader/>
        </w:trPr>
        <w:tc>
          <w:tcPr>
            <w:tcW w:type="dxa" w:w="3402"/>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Показатель</w:t>
            </w:r>
          </w:p>
        </w:tc>
        <w:tc>
          <w:tcPr>
            <w:tcW w:type="dxa" w:w="311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 сведениям ЕГРН</w:t>
            </w:r>
          </w:p>
        </w:tc>
        <w:tc>
          <w:tcPr>
            <w:tcW w:type="dxa" w:w="311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 расчету на 19.10.2026</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Стоимость, руб.</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1 429 000</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Удельный показатель, руб./кв. м</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3 063,55</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1 421,89</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Удельный показатель, руб./сотка</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306 355</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142 189</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Налог при ставке 0,3 % с 01.01.2025, руб./год</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9 236,59</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4 287,00</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Для какого решения пригодна</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Налог, справка, статистика оценки</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Ориентир цены сделки</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Достаточность сведений для сделки оценена по критерию таблицы 1 с учетом фактических пробелов комплекта. Идентификация объекта возможна: номер, адрес товарищества, площадь и контур согласованы. Количественная характеристика для цены пригодна: 1 005 кв. м подтверждены координатами с допуском 22 кв. м. Проверка продавца по открытой карточке не завершена: есть номер и дата регистрации собственности, нет фамилии актуального правообладателя и нет выписки о переходе прав. Вывод об отсутствии обременений преждевременен. Коммуникации, подъезд и состав зданий после 2015 года из ЕГРН в имеющемся комплекте не следуют. Зоны с особыми условиями отдельным списком не представлены: инструмент пересечений показал смежные участки, а не перечень ЗОУИТ. Цена из реестра не следует и не должна следовать.</w:t>
      </w:r>
    </w:p>
    <w:p>
      <w:pPr>
        <w:spacing w:line="360" w:lineRule="auto" w:before="0" w:after="0"/>
        <w:ind w:firstLine="709" w:left="0"/>
        <w:jc w:val="both"/>
      </w:pPr>
      <w:r>
        <w:rPr>
          <w:rFonts w:ascii="Times New Roman" w:hAnsi="Times New Roman" w:cs="Times New Roman" w:eastAsia="Times New Roman"/>
          <w:b w:val="0"/>
          <w:i w:val="0"/>
          <w:color w:val="000000"/>
          <w:sz w:val="28"/>
        </w:rPr>
        <w:t>Итог практической части состоит в следующем. Сведения ЕГРН по участку 50:28:0000000:51403 пригодны как информационное обеспечение рынка в части тождества объекта, площади, категории, вида разрешенного использования, факта зарегистрированной собственности и кадастровой стоимости для налога. Сведения межевого плана, из которых реестр получает границу, геометрически доброкачественны и могут использоваться для разбивки. Те же сведения непригодны как единственная основа цены, как замена выписки о правах и как описание потребительских свойств, которых в реестре нет.</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3 РЕКОМЕНДАЦИИ ПО ИСПОЛЬЗОВАНИЮ И ПОВЫШЕНИЮ ПРИГОДНОСТИ СВЕДЕНИЙ ЕГРН</w:t>
      </w:r>
    </w:p>
    <w:p>
      <w:pPr>
        <w:spacing w:line="360" w:lineRule="auto" w:before="240" w:after="240"/>
        <w:ind w:firstLine="0" w:left="0"/>
        <w:jc w:val="center"/>
      </w:pPr>
      <w:r>
        <w:rPr>
          <w:rFonts w:ascii="Times New Roman" w:hAnsi="Times New Roman" w:cs="Times New Roman" w:eastAsia="Times New Roman"/>
          <w:b/>
          <w:i w:val="0"/>
          <w:color w:val="000000"/>
          <w:sz w:val="28"/>
        </w:rPr>
        <w:t>3.1 Рекомендации применительно к участку 50:28:0000000:51403</w:t>
      </w:r>
    </w:p>
    <w:p>
      <w:pPr>
        <w:spacing w:line="360" w:lineRule="auto" w:before="0" w:after="0"/>
        <w:ind w:firstLine="709" w:left="0"/>
        <w:jc w:val="both"/>
      </w:pPr>
      <w:r>
        <w:rPr>
          <w:rFonts w:ascii="Times New Roman" w:hAnsi="Times New Roman" w:cs="Times New Roman" w:eastAsia="Times New Roman"/>
          <w:b w:val="0"/>
          <w:i w:val="0"/>
          <w:color w:val="000000"/>
          <w:sz w:val="28"/>
        </w:rPr>
        <w:t>Перед любой сделкой с участком 50:28:0000000:51403 следует заказать не справочный просмотр, а выписку из ЕГРН об основных характеристиках и зарегистрированных правах и выписку о переходе прав. Порядок предоставления этих сведений установлен статьей 62 Федерального закона № 218-ФЗ: запрос направляется в орган регистрации прав, срок по общему правилу — три рабочих дня [2]. Первая выписка должна подтвердить правообладателя, отсутствие или наличие ипотеки, ареста и иных ограничений, а также состав характеристики «местоположение границы». Вторая покажет, совпадает ли цепочка с записью от 22.03.2016 и со свидетельствами 1993 года, названными в межевом плане. Пока эти документы не получены, инициалы заказчика работ 2015 года не должны указываться в договоре как имя продавца. Запрос доступен любому заинтересованному лицу, отдельного изменения закона для этого не требуется.</w:t>
      </w:r>
    </w:p>
    <w:p>
      <w:pPr>
        <w:spacing w:line="360" w:lineRule="auto" w:before="0" w:after="0"/>
        <w:ind w:firstLine="709" w:left="0"/>
        <w:jc w:val="both"/>
      </w:pPr>
      <w:r>
        <w:rPr>
          <w:rFonts w:ascii="Times New Roman" w:hAnsi="Times New Roman" w:cs="Times New Roman" w:eastAsia="Times New Roman"/>
          <w:b w:val="0"/>
          <w:i w:val="0"/>
          <w:color w:val="000000"/>
          <w:sz w:val="28"/>
        </w:rPr>
        <w:t>В договоре объект следует индивидуализировать кадастровым номером 50:28:0000000:51403, площадью 1 005 кв. м и адресом в редакции действующей записи ЕГРН: Московская область, городской округ Домодедово, территория СНТ «Ветеран-5», земельный участок 7. Упоминание деревни Соломахово допустимо как ориентир, но не как единственный адрес. Категорию земель и вид разрешенного использования нужно переписать из выписки дословно. Покупатель должен понимать, что «для садоводства» на землях сельскохозяйственного назначения позволяет использовать участок по Федеральному закону № 217-ФЗ, включая размещение садового дома в случаях, предусмотренных этим законом и градостроительным регламентом [4]. Сам регламент в ЕГРН не содержится, его следует устанавливать по правилам землепользования и застройки округа.</w:t>
      </w:r>
    </w:p>
    <w:p>
      <w:pPr>
        <w:spacing w:line="360" w:lineRule="auto" w:before="0" w:after="0"/>
        <w:ind w:firstLine="709" w:left="0"/>
        <w:jc w:val="both"/>
      </w:pPr>
      <w:r>
        <w:rPr>
          <w:rFonts w:ascii="Times New Roman" w:hAnsi="Times New Roman" w:cs="Times New Roman" w:eastAsia="Times New Roman"/>
          <w:b w:val="0"/>
          <w:i w:val="0"/>
          <w:color w:val="000000"/>
          <w:sz w:val="28"/>
        </w:rPr>
        <w:t>Цену в объявлении не стоит ставить равной кадастровой стоимости. Ориентир цены и налог сведены в таблице 8 и в параграфе 2.3: первый получен учебным расчетом и не является офертой, второй считается от кадастровой стоимости по решению № 1-4/53 в редакции, действующей с 01.01.2025 [13]. Перед реальной продажей расчет нужно пересчитать по свежим объявлениям. Если банк или стороны просят отчет, его готовит оценщик, состоящий в саморегулируемой организации [6]. Установить кадастровую стоимость в размере рыночной позволяет статья 66 Земельного кодекса в порядке закона № 237-ФЗ [1; 5]. При небольшой годовой разнице налога такой отчет за короткий срок владения не окупается, поэтому для налога остается кадастровая стоимость, для цены продажи — рынок.</w:t>
      </w:r>
    </w:p>
    <w:p>
      <w:pPr>
        <w:spacing w:line="360" w:lineRule="auto" w:before="0" w:after="0"/>
        <w:ind w:firstLine="709" w:left="0"/>
        <w:jc w:val="both"/>
      </w:pPr>
      <w:r>
        <w:rPr>
          <w:rFonts w:ascii="Times New Roman" w:hAnsi="Times New Roman" w:cs="Times New Roman" w:eastAsia="Times New Roman"/>
          <w:b w:val="0"/>
          <w:i w:val="0"/>
          <w:color w:val="000000"/>
          <w:sz w:val="28"/>
        </w:rPr>
        <w:t>Границу при установке ограждения нужно выносить по каталогу точек н1–н5, а не по растровой публичной карте. Длины сторон 21,57 м, 5,75 м, 37,65 м, 27,09 м и 36,15 м уже проверены по координатам и могут служить контролем разбивки. Точку н2 пропускать нельзя: она фиксирует излом северной стороны. Средняя квадратическая погрешность 0,20 м задает ожидаемую точность положения точки, а не разрешение произвольно смещать ограждение в пределах этой величины. Западная сторона н5–н1 граничит с участком 50:28:0090134:10, правообладатель которого в плане не установлен. До начала работ на этой стороне целесообразно повторно проверить по выписке, появился ли правообладатель после 2015 года. Остальные стороны в 2015 году согласованы, возражений акт не содержит.</w:t>
      </w:r>
    </w:p>
    <w:p>
      <w:pPr>
        <w:spacing w:line="360" w:lineRule="auto" w:before="0" w:after="0"/>
        <w:ind w:firstLine="709" w:left="0"/>
        <w:jc w:val="both"/>
      </w:pPr>
      <w:r>
        <w:rPr>
          <w:rFonts w:ascii="Times New Roman" w:hAnsi="Times New Roman" w:cs="Times New Roman" w:eastAsia="Times New Roman"/>
          <w:b w:val="0"/>
          <w:i w:val="0"/>
          <w:color w:val="000000"/>
          <w:sz w:val="28"/>
        </w:rPr>
        <w:t>Имеет смысл один раз запросить выписку с координатами и сверить ее с каталогом межевого плана. Если координаты в выписке совпадут с н1–н5, вопрос о переносе сведений плана в реестр будет закрыт, а пометка «ранее учтенный» в НСПД останется особенностью отображения, а не дефектом границы. Если координаты в выписке отсутствуют или расходятся с планом больше чем на Mt, вопрос ставится об уточнении границы либо об исправлении реестровой ошибки по Федеральному закону № 218-ФЗ: исправляет ее орган регистрации прав, а не стороны договора [2]. До этой сверки утверждать, что в реестре лежит именно каталог 2015 года, нельзя, хотя площадь и смежества на это указывают.</w:t>
      </w:r>
    </w:p>
    <w:p>
      <w:pPr>
        <w:spacing w:line="360" w:lineRule="auto" w:before="0" w:after="0"/>
        <w:ind w:firstLine="709" w:left="0"/>
        <w:jc w:val="both"/>
      </w:pPr>
      <w:r>
        <w:rPr>
          <w:rFonts w:ascii="Times New Roman" w:hAnsi="Times New Roman" w:cs="Times New Roman" w:eastAsia="Times New Roman"/>
          <w:b w:val="0"/>
          <w:i w:val="0"/>
          <w:color w:val="000000"/>
          <w:sz w:val="28"/>
        </w:rPr>
        <w:t>Покупателю стоит отдельно запросить сведения, которых нет ни в карточке, ни в межевом плане: наличие электроснабжения и водоснабжения, возможность подъезда в течение года, состав членских взносов СНТ «Ветеран-5», отсутствие зданий, возведенных после 2015 года и не отраженных в ЕГРН. Эти сведения влияют на цену сильнее, чем допуск площади. Отсутствие этих сведений в реестре не восполняется предположением по карте. Они остаются за пределами того, что ЕГРН способен гарантировать.</w:t>
      </w:r>
    </w:p>
    <w:p>
      <w:pPr>
        <w:spacing w:line="360" w:lineRule="auto" w:before="0" w:after="0"/>
        <w:ind w:firstLine="709" w:left="0"/>
        <w:jc w:val="both"/>
      </w:pPr>
      <w:r>
        <w:rPr>
          <w:rFonts w:ascii="Times New Roman" w:hAnsi="Times New Roman" w:cs="Times New Roman" w:eastAsia="Times New Roman"/>
          <w:b w:val="0"/>
          <w:i w:val="0"/>
          <w:color w:val="000000"/>
          <w:sz w:val="28"/>
        </w:rPr>
        <w:t>Проверку перед договором удобно свести к короткому листу, не повторяя цифры параграфа 2.3. Сначала номер, площадь и адрес по выписке, полученной в порядке статьи 62 Федерального закона № 218-ФЗ [2]. Затем категория земель и вид разрешенного использования, переписанные дословно. Потом правообладатель и ограничения, включая сведения реестра границ о зонах с особыми условиями. Дальше координаты выписки сверяются с каталогом межевого плана. В конце кадастровая стоимость с датой определения отделяется от цены договора: первая идет в налог по статье 66 Земельного кодекса [1], вторая берется вне реестра. Сведение пригодно для договора, если оно есть в выписке, не противоречит межевому плану и закрывает именно тот вопрос, для которого запрошен документ. Сведение непригодно как единственное основание, если оно взято только со справочного экрана либо усреднено массовой оценкой. Лист выписку не заменяет и правовой режим участка не меняет.</w:t>
      </w:r>
    </w:p>
    <w:p>
      <w:pPr>
        <w:spacing w:line="360" w:lineRule="auto" w:before="240" w:after="240"/>
        <w:ind w:firstLine="0" w:left="0"/>
        <w:jc w:val="center"/>
      </w:pPr>
      <w:r>
        <w:rPr>
          <w:rFonts w:ascii="Times New Roman" w:hAnsi="Times New Roman" w:cs="Times New Roman" w:eastAsia="Times New Roman"/>
          <w:b/>
          <w:i w:val="0"/>
          <w:color w:val="000000"/>
          <w:sz w:val="28"/>
        </w:rPr>
        <w:t>3.2 Предложения по информационному обеспечению рынка недвижимости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На исследованном участке видны ограничения показа сведений. Переносить их на другие ранее учтенные участки по одному примеру нельзя: для этого нужны еще два-три контрольных объекта того же массива. На этом участке карточка Росреестра пишет «актуально», НСПД — «ранее учтенный». В номере стоит нулевой квартал 50:28:0000000, а на карте участок лежит в квартале 50:28:0090134. Кадастровая стоимость показана рядом с площадью и легко читается как цена. Контур нарисован, а каталог координат в открытый просмотр не выведен.</w:t>
      </w:r>
    </w:p>
    <w:p>
      <w:pPr>
        <w:spacing w:line="360" w:lineRule="auto" w:before="0" w:after="0"/>
        <w:ind w:firstLine="709" w:left="0"/>
        <w:jc w:val="both"/>
      </w:pPr>
      <w:r>
        <w:rPr>
          <w:rFonts w:ascii="Times New Roman" w:hAnsi="Times New Roman" w:cs="Times New Roman" w:eastAsia="Times New Roman"/>
          <w:b w:val="0"/>
          <w:i w:val="0"/>
          <w:color w:val="000000"/>
          <w:sz w:val="28"/>
        </w:rPr>
        <w:t>Статус и квартал можно показать одинаково в обоих окнах, не раскрывая персональных данных и не меняя состав реестра. Если координаты внесены, подпись должна говорить, что граница установлена, и указывать дату внесения и Mt. Рядом с номером 50:28:0000000:51403 стоит постоянно писать квартал фактического расположения 50:28:0090134. Иначе смежные участки с другой структурой номера ищут как другой объект. Для садовых массивов это обычная ситуация: ранее учтенный участок стоит рядом с участком, поставленным на учет внутри квартала.</w:t>
      </w:r>
    </w:p>
    <w:p>
      <w:pPr>
        <w:spacing w:line="360" w:lineRule="auto" w:before="0" w:after="0"/>
        <w:ind w:firstLine="709" w:left="0"/>
        <w:jc w:val="both"/>
      </w:pPr>
      <w:r>
        <w:rPr>
          <w:rFonts w:ascii="Times New Roman" w:hAnsi="Times New Roman" w:cs="Times New Roman" w:eastAsia="Times New Roman"/>
          <w:b w:val="0"/>
          <w:i w:val="0"/>
          <w:color w:val="000000"/>
          <w:sz w:val="28"/>
        </w:rPr>
        <w:t>Рядом с кадастровой стоимостью нужна короткая пометка, что сумма определена для целей, указанных в законе, на дату определения и не является ценой сделки. На рассмотренном участке дата определения — 01.01.2022, а дата внесения — 05.12.2025. Без пометки более позднюю дату принимают за дату оценки. Тогда 3,08 млн руб. легко объявить ценой участка, по объявлениям которого расчет дает около 1,43 млн руб.</w:t>
      </w:r>
    </w:p>
    <w:p>
      <w:pPr>
        <w:spacing w:line="360" w:lineRule="auto" w:before="0" w:after="0"/>
        <w:ind w:firstLine="709" w:left="0"/>
        <w:jc w:val="both"/>
      </w:pPr>
      <w:r>
        <w:rPr>
          <w:rFonts w:ascii="Times New Roman" w:hAnsi="Times New Roman" w:cs="Times New Roman" w:eastAsia="Times New Roman"/>
          <w:b w:val="0"/>
          <w:i w:val="0"/>
          <w:color w:val="000000"/>
          <w:sz w:val="28"/>
        </w:rPr>
        <w:t>Для разбивки открытое описание уточненной границы могло бы содержать число точек, систему координат и Mt, даже если полный каталог публиковать нельзя. Строка «5 точек, МСК-50, Mt = 0,20 м» сразу показывает, что контур определен, и отсылает к межевому плану. Сейчас это приходится собирать из плана вручную, как сделано в работе. В разделе о правах пустую графу ограничений лучше заменить прямой формулировкой: ограничения зарегистрированы или не зарегистрированы. Отдельно нужен признак пересечения с зонами с особыми условиями. Карта смежных участков на этот вопрос не отвечает, а для садового участка режим зоны влияет на использование и на цену.</w:t>
      </w:r>
    </w:p>
    <w:p>
      <w:pPr>
        <w:spacing w:line="360" w:lineRule="auto" w:before="0" w:after="0"/>
        <w:ind w:firstLine="709" w:left="0"/>
        <w:jc w:val="both"/>
      </w:pPr>
      <w:r>
        <w:rPr>
          <w:rFonts w:ascii="Times New Roman" w:hAnsi="Times New Roman" w:cs="Times New Roman" w:eastAsia="Times New Roman"/>
          <w:b w:val="0"/>
          <w:i w:val="0"/>
          <w:color w:val="000000"/>
          <w:sz w:val="28"/>
        </w:rPr>
        <w:t>К выписке полезен короткий лист проверки: номер, площадь и допуск, категория и вид использования, правообладатель и дата записи, ограничения, наличие координат, кадастровая стоимость с датой определения отдельно от цены договора, квартал фактического расположения. Лист выписку не заменяет. Он не дает пропустить строку, которая по этому участку отделяет пригодное сведение от непригодного.</w:t>
      </w:r>
    </w:p>
    <w:p>
      <w:pPr>
        <w:spacing w:line="360" w:lineRule="auto" w:before="0" w:after="0"/>
        <w:ind w:firstLine="709" w:left="0"/>
        <w:jc w:val="both"/>
      </w:pPr>
      <w:r>
        <w:rPr>
          <w:rFonts w:ascii="Times New Roman" w:hAnsi="Times New Roman" w:cs="Times New Roman" w:eastAsia="Times New Roman"/>
          <w:b w:val="0"/>
          <w:i w:val="0"/>
          <w:color w:val="000000"/>
          <w:sz w:val="28"/>
        </w:rPr>
        <w:t>Пока в открытом ЕГРН нет обезличенных цен сделок по кварталу и виду использования, сравнение идет по объявлениям [23; 24]. Для учебной работы это допустимо, для пересмотра кадастровой стоимости недостаточно. Такой слой можно было бы собирать по переходу права, не показывая стороны договора. Пока его нет, в расчете, как в параграфе 2.3, нужно прямо писать, что аналоги взяты из ЦИАН, а не из реестра. Публикации об искусственном интеллекте описывают обработку ценовых данных внутри кадастровой оценки, а не поиск ошибок в записи ЕГРН и не замену цены сделки [22].</w:t>
      </w:r>
    </w:p>
    <w:p>
      <w:pPr>
        <w:spacing w:line="360" w:lineRule="auto" w:before="0" w:after="0"/>
        <w:ind w:firstLine="709" w:left="0"/>
        <w:jc w:val="both"/>
      </w:pPr>
      <w:r>
        <w:rPr>
          <w:rFonts w:ascii="Times New Roman" w:hAnsi="Times New Roman" w:cs="Times New Roman" w:eastAsia="Times New Roman"/>
          <w:b w:val="0"/>
          <w:i w:val="0"/>
          <w:color w:val="000000"/>
          <w:sz w:val="28"/>
        </w:rPr>
        <w:t>Менять категорию, вид использования, площадь и запись о собственности участка 50:28:0000000:51403 для этого не требуется. Подписи на экране может изменить оператор ФГИС ЕГРН и портала НСПД в пределах государственной программы, утвержденной постановлением Правительства РФ от 01.12.2021 № 2148, без поправок в закон и без смены правового режима участка [7]. Ожидаемый эффект — меньше случаев, когда справочный экран читают как выписку, а кадастровую стоимость как цену. Исправление самой записи, если координаты выписки разойдутся с планом, идет отдельно: его выполняет орган регистрации прав по правилам реестровой ошибки [2]. Кадастровая стоимость не должна подменять цену сделки, а справочная карточка — выписку [1; 2]. Зарубежный обзор кадастра и управления землей подтверждает только общий тезис: кадастр поддерживает рынок, когда сведения об объекте и о праве доступны и понятны участнику оборота [28].</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ЗАКЛЮЧЕНИЕ</w:t>
      </w:r>
    </w:p>
    <w:p>
      <w:pPr>
        <w:spacing w:line="360" w:lineRule="auto" w:before="0" w:after="0"/>
        <w:ind w:firstLine="709" w:left="0"/>
        <w:jc w:val="both"/>
      </w:pPr>
      <w:r>
        <w:rPr>
          <w:rFonts w:ascii="Times New Roman" w:hAnsi="Times New Roman" w:cs="Times New Roman" w:eastAsia="Times New Roman"/>
          <w:b w:val="0"/>
          <w:i w:val="0"/>
          <w:color w:val="000000"/>
          <w:sz w:val="28"/>
        </w:rPr>
        <w:t>По задаче 1. Информационное обеспечение рынка недвижимости — это сведения, по которым объект опознают, право проверяют и налоговую величину отделяют от цены. ЕГРН занимает в этом наборе центральное место. Рядом остаются государственная кадастровая оценка, портал НСПД, коммерческие базы объявлений и статистика цен. С 1 января 2017 года реестр соединил учет объектов, который раньше вел государственный кадастр недвижимости, и регистрацию прав, которую раньше вел ЕГРП. По статье 7 Федерального закона № 218-ФЗ в состав ЕГРН входит и реестр границ. Без него нельзя судить о зонах с особыми условиями использования территории.</w:t>
      </w:r>
    </w:p>
    <w:p>
      <w:pPr>
        <w:spacing w:line="360" w:lineRule="auto" w:before="0" w:after="0"/>
        <w:ind w:firstLine="709" w:left="0"/>
        <w:jc w:val="both"/>
      </w:pPr>
      <w:r>
        <w:rPr>
          <w:rFonts w:ascii="Times New Roman" w:hAnsi="Times New Roman" w:cs="Times New Roman" w:eastAsia="Times New Roman"/>
          <w:b w:val="0"/>
          <w:i w:val="0"/>
          <w:color w:val="000000"/>
          <w:sz w:val="28"/>
        </w:rPr>
        <w:t>По задаче 2. Граница в реестре — каталог координат характерных точек, а не линия на снимке. Межевой план передает в орган регистрации координаты, их погрешность и площадь. Для земель сельскохозяйственного назначения, предоставленных для садоводства, нормативная средняя квадратическая погрешность положения точки равна 0,20 м. Запись плана с этой величиной совпадает с действующим нормативом. Для иных земель сельскохозяйственного назначения норматив иной, поэтому категорию и вид использования при проверке границы подменять нельзя.</w:t>
      </w:r>
    </w:p>
    <w:p>
      <w:pPr>
        <w:spacing w:line="360" w:lineRule="auto" w:before="0" w:after="0"/>
        <w:ind w:firstLine="709" w:left="0"/>
        <w:jc w:val="both"/>
      </w:pPr>
      <w:r>
        <w:rPr>
          <w:rFonts w:ascii="Times New Roman" w:hAnsi="Times New Roman" w:cs="Times New Roman" w:eastAsia="Times New Roman"/>
          <w:b w:val="0"/>
          <w:i w:val="0"/>
          <w:color w:val="000000"/>
          <w:sz w:val="28"/>
        </w:rPr>
        <w:t>По задаче 3. Из реестра для рынка пригодны кадастровый номер, площадь, категория земель, вид разрешенного использования, запись о праве и кадастровая стоимость как база налога. Непригодны как единственное основание открытая карточка вместо выписки, пустой экран вместо сведений об ограничениях и кадастровая стоимость вместо цены сделки. Массовая оценка и цена отдельного объявления — разные величины. Условие банка об установленных границах является условием договора, а не нормой ЕГРН.</w:t>
      </w:r>
    </w:p>
    <w:p>
      <w:pPr>
        <w:spacing w:line="360" w:lineRule="auto" w:before="0" w:after="0"/>
        <w:ind w:firstLine="709" w:left="0"/>
        <w:jc w:val="both"/>
      </w:pPr>
      <w:r>
        <w:rPr>
          <w:rFonts w:ascii="Times New Roman" w:hAnsi="Times New Roman" w:cs="Times New Roman" w:eastAsia="Times New Roman"/>
          <w:b w:val="0"/>
          <w:i w:val="0"/>
          <w:color w:val="000000"/>
          <w:sz w:val="28"/>
        </w:rPr>
        <w:t>По задаче 4. По участку 50:28:0000000:51403 карточка Росреестра, карточка НСПД и межевой план от 09.09.2015 сходятся в площади, категории и виде использования. Геометрический контроль каталога н1–н5 подтвердил замкнутость контура, сумму внутренних углов и допуск площади. План использован как образец, опубликованный исполнителем работ: номер, адрес товарищества и площадь совпали с действующей карточкой. Каталог в открытой записи не показан, поэтому тождество каждой координаты плана и действующей записи ЕГРН по имеющимся материалам не доказано. Исследован один участок. Переносить вывод на все ранее учтенные участки нельзя.</w:t>
      </w:r>
    </w:p>
    <w:p>
      <w:pPr>
        <w:spacing w:line="360" w:lineRule="auto" w:before="0" w:after="0"/>
        <w:ind w:firstLine="709" w:left="0"/>
        <w:jc w:val="both"/>
      </w:pPr>
      <w:r>
        <w:rPr>
          <w:rFonts w:ascii="Times New Roman" w:hAnsi="Times New Roman" w:cs="Times New Roman" w:eastAsia="Times New Roman"/>
          <w:b w:val="0"/>
          <w:i w:val="0"/>
          <w:color w:val="000000"/>
          <w:sz w:val="28"/>
        </w:rPr>
        <w:t>По задаче 5. Рыночная стоимость рассчитана сравнительным подходом как контрольный показатель, а не как самостоятельная оценка для отчета. По трем объявлениям ориентир оказался ниже кадастровой стоимости примерно вдвое: отношение двух величин равно 2,15. Коэффициенты и веса — экспертные допущения учебной работы, справочника по садовым участкам округа в открытом доступе нет. Доходный подход не применялся, потому что сведений о доходе нет. Расчет показывает, что кадастровая стоимость не заменяет цену, и сам не заменяет отчет оценщика.</w:t>
      </w:r>
    </w:p>
    <w:p>
      <w:pPr>
        <w:spacing w:line="360" w:lineRule="auto" w:before="0" w:after="0"/>
        <w:ind w:firstLine="709" w:left="0"/>
        <w:jc w:val="both"/>
      </w:pPr>
      <w:r>
        <w:rPr>
          <w:rFonts w:ascii="Times New Roman" w:hAnsi="Times New Roman" w:cs="Times New Roman" w:eastAsia="Times New Roman"/>
          <w:b w:val="0"/>
          <w:i w:val="0"/>
          <w:color w:val="000000"/>
          <w:sz w:val="28"/>
        </w:rPr>
        <w:t>По задаче 6. Перед сделкой нужны выписки о характеристиках, правах и переходе прав в порядке статьи 62 Федерального закона № 218-ФЗ. Ограждение выносится по каталогу координат, а не по картинке публичной карты. Показ уже имеющихся сведений в открытых сервисах можно уточнить силами оператора системы в рамках программы НСПД, не меняя правовой режим участка: одинаково подписать состояние границы, показать фактический квартал, отделить кадастровую стоимость от цены и прямо указать, зарегистрированы ли ограничения и есть ли пересечение с зонами. Если координаты выписки разойдутся с планом, запись исправляет орган регистрации прав.</w:t>
      </w:r>
    </w:p>
    <w:p>
      <w:pPr>
        <w:spacing w:line="360" w:lineRule="auto" w:before="0" w:after="0"/>
        <w:ind w:firstLine="709" w:left="0"/>
        <w:jc w:val="both"/>
      </w:pPr>
      <w:r>
        <w:rPr>
          <w:rFonts w:ascii="Times New Roman" w:hAnsi="Times New Roman" w:cs="Times New Roman" w:eastAsia="Times New Roman"/>
          <w:b w:val="0"/>
          <w:i w:val="0"/>
          <w:color w:val="000000"/>
          <w:sz w:val="28"/>
        </w:rPr>
        <w:t>Практическая значимость работы состоит в том, что по одному участку разделены сведения для договора, для налога и для разбивки. Открытых материалов недостаточно, чтобы назвать актуального правообладателя, гарантировать отсутствие обременений и подтвердить коммуникации. Эти пробелы входят в вывод о пригодности ЕГРН. Продолжить работу можно сверкой координат выписки с каталогом плана и разбором еще двух-трех ранее учтенных участков того же товарищества.</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СПИСОК ИСПОЛЬЗОВАННЫХ ИСТОЧНИКОВ</w:t>
      </w:r>
    </w:p>
    <w:p>
      <w:pPr>
        <w:spacing w:line="360" w:lineRule="auto" w:before="0" w:after="120"/>
        <w:ind w:firstLine="0" w:left="0"/>
        <w:jc w:val="center"/>
      </w:pPr>
      <w:r>
        <w:rPr>
          <w:rFonts w:ascii="Times New Roman" w:hAnsi="Times New Roman" w:cs="Times New Roman" w:eastAsia="Times New Roman"/>
          <w:b/>
          <w:i w:val="0"/>
          <w:color w:val="000000"/>
          <w:sz w:val="28"/>
        </w:rPr>
        <w:t>Нормативные правовые акты</w:t>
      </w:r>
    </w:p>
    <w:p>
      <w:pPr>
        <w:spacing w:line="360" w:lineRule="auto" w:before="0" w:after="40"/>
        <w:ind w:left="567" w:hanging="567"/>
        <w:jc w:val="both"/>
      </w:pPr>
      <w:r>
        <w:rPr>
          <w:rFonts w:ascii="Times New Roman" w:hAnsi="Times New Roman" w:cs="Times New Roman" w:eastAsia="Times New Roman"/>
          <w:b w:val="0"/>
          <w:i w:val="0"/>
          <w:color w:val="000000"/>
          <w:sz w:val="28"/>
        </w:rPr>
        <w:t>1. Земельный кодекс Российской Федерации : Федеральный закон от 25.10.2001 № 136-ФЗ (в редакции, применяемой в 2026 г.) // Собрание законодательства РФ. — 2001. — № 44. — Ст. 4147.</w:t>
      </w:r>
    </w:p>
    <w:p>
      <w:pPr>
        <w:spacing w:line="360" w:lineRule="auto" w:before="0" w:after="40"/>
        <w:ind w:left="567" w:hanging="567"/>
        <w:jc w:val="both"/>
      </w:pPr>
      <w:r>
        <w:rPr>
          <w:rFonts w:ascii="Times New Roman" w:hAnsi="Times New Roman" w:cs="Times New Roman" w:eastAsia="Times New Roman"/>
          <w:b w:val="0"/>
          <w:i w:val="0"/>
          <w:color w:val="000000"/>
          <w:sz w:val="28"/>
        </w:rPr>
        <w:t>2. О государственной регистрации недвижимости : Федеральный закон от 13.07.2015 № 218-ФЗ (в редакции, применяемой в 2026 г.) // Собрание законодательства РФ. — 2015. — № 29 (часть I). — Ст. 4344.</w:t>
      </w:r>
    </w:p>
    <w:p>
      <w:pPr>
        <w:spacing w:line="360" w:lineRule="auto" w:before="0" w:after="40"/>
        <w:ind w:left="567" w:hanging="567"/>
        <w:jc w:val="both"/>
      </w:pPr>
      <w:r>
        <w:rPr>
          <w:rFonts w:ascii="Times New Roman" w:hAnsi="Times New Roman" w:cs="Times New Roman" w:eastAsia="Times New Roman"/>
          <w:b w:val="0"/>
          <w:i w:val="0"/>
          <w:color w:val="000000"/>
          <w:sz w:val="28"/>
        </w:rPr>
        <w:t>3. О кадастровой деятельности : Федеральный закон от 24.07.2007 № 221-ФЗ (в редакции, применяемой в 2026 г.) // Собрание законодательства РФ. — 2007. — № 31. — Ст. 4017.</w:t>
      </w:r>
    </w:p>
    <w:p>
      <w:pPr>
        <w:spacing w:line="360" w:lineRule="auto" w:before="0" w:after="40"/>
        <w:ind w:left="567" w:hanging="567"/>
        <w:jc w:val="both"/>
      </w:pPr>
      <w:r>
        <w:rPr>
          <w:rFonts w:ascii="Times New Roman" w:hAnsi="Times New Roman" w:cs="Times New Roman" w:eastAsia="Times New Roman"/>
          <w:b w:val="0"/>
          <w:i w:val="0"/>
          <w:color w:val="000000"/>
          <w:sz w:val="28"/>
        </w:rPr>
        <w:t>4. О ведении гражданами садоводства и огородничества для собственных нужд и о внесении изменений в отдельные законодательные акты Российской Федерации : Федеральный закон от 29.07.2017 № 217-ФЗ (в редакции, применяемой в 2026 г.) // Собрание законодательства РФ. — 2017. — № 31 (часть I). — Ст. 4766.</w:t>
      </w:r>
    </w:p>
    <w:p>
      <w:pPr>
        <w:spacing w:line="360" w:lineRule="auto" w:before="0" w:after="40"/>
        <w:ind w:left="567" w:hanging="567"/>
        <w:jc w:val="both"/>
      </w:pPr>
      <w:r>
        <w:rPr>
          <w:rFonts w:ascii="Times New Roman" w:hAnsi="Times New Roman" w:cs="Times New Roman" w:eastAsia="Times New Roman"/>
          <w:b w:val="0"/>
          <w:i w:val="0"/>
          <w:color w:val="000000"/>
          <w:sz w:val="28"/>
        </w:rPr>
        <w:t>5. О государственной кадастровой оценке : Федеральный закон от 03.07.2016 № 237-ФЗ (в редакции, применяемой в 2026 г.) // Собрание законодательства РФ. — 2016. — № 27 (часть I). — Ст. 4170.</w:t>
      </w:r>
    </w:p>
    <w:p>
      <w:pPr>
        <w:spacing w:line="360" w:lineRule="auto" w:before="0" w:after="40"/>
        <w:ind w:left="567" w:hanging="567"/>
        <w:jc w:val="both"/>
      </w:pPr>
      <w:r>
        <w:rPr>
          <w:rFonts w:ascii="Times New Roman" w:hAnsi="Times New Roman" w:cs="Times New Roman" w:eastAsia="Times New Roman"/>
          <w:b w:val="0"/>
          <w:i w:val="0"/>
          <w:color w:val="000000"/>
          <w:sz w:val="28"/>
        </w:rPr>
        <w:t>6. Об оценочной деятельности в Российской Федерации : Федеральный закон от 29.07.1998 № 135-ФЗ (в редакции, применяемой в 2026 г.) // Собрание законодательства РФ. — 1998. — № 31. — Ст. 3813.</w:t>
      </w:r>
    </w:p>
    <w:p>
      <w:pPr>
        <w:spacing w:line="360" w:lineRule="auto" w:before="0" w:after="40"/>
        <w:ind w:left="567" w:hanging="567"/>
        <w:jc w:val="both"/>
      </w:pPr>
      <w:r>
        <w:rPr>
          <w:rFonts w:ascii="Times New Roman" w:hAnsi="Times New Roman" w:cs="Times New Roman" w:eastAsia="Times New Roman"/>
          <w:b w:val="0"/>
          <w:i w:val="0"/>
          <w:color w:val="000000"/>
          <w:sz w:val="28"/>
        </w:rPr>
        <w:t>7. Об утверждении государственной программы Российской Федерации «Национальная система пространственных данных» : постановление Правительства РФ от 01.12.2021 № 2148 (в редакции, применяемой в 2026 г.).</w:t>
      </w:r>
    </w:p>
    <w:p>
      <w:pPr>
        <w:spacing w:line="360" w:lineRule="auto" w:before="0" w:after="40"/>
        <w:ind w:left="567" w:hanging="567"/>
        <w:jc w:val="both"/>
      </w:pPr>
      <w:r>
        <w:rPr>
          <w:rFonts w:ascii="Times New Roman" w:hAnsi="Times New Roman" w:cs="Times New Roman" w:eastAsia="Times New Roman"/>
          <w:b w:val="0"/>
          <w:i w:val="0"/>
          <w:color w:val="000000"/>
          <w:sz w:val="28"/>
        </w:rPr>
        <w:t>8. Об утверждении формы и состава сведений межевого плана, требований к его подготовке : приказ Росреестра от 14.12.2021 № П/0592 (зарегистрирован в Минюсте России 31.03.2022 № 68008).</w:t>
      </w:r>
    </w:p>
    <w:p>
      <w:pPr>
        <w:spacing w:line="360" w:lineRule="auto" w:before="0" w:after="40"/>
        <w:ind w:left="567" w:hanging="567"/>
        <w:jc w:val="both"/>
      </w:pPr>
      <w:r>
        <w:rPr>
          <w:rFonts w:ascii="Times New Roman" w:hAnsi="Times New Roman" w:cs="Times New Roman" w:eastAsia="Times New Roman"/>
          <w:b w:val="0"/>
          <w:i w:val="0"/>
          <w:color w:val="000000"/>
          <w:sz w:val="28"/>
        </w:rPr>
        <w:t>9. Об утверждении требований к точности и методам определения координат характерных точек границ земельного участка, требований к точности и методам определения координат характерных точек контура здания, сооружения или объекта незавершенного строительства на земельном участке, а также требований к определению площади здания, сооружения, помещения, машино-места : приказ Росреестра от 23.10.2020 № П/0393 (зарегистрирован в Минюсте России 16.11.2020 № 60938; в редакции, применяемой в 2026 г.).</w:t>
      </w:r>
    </w:p>
    <w:p>
      <w:pPr>
        <w:spacing w:line="360" w:lineRule="auto" w:before="0" w:after="40"/>
        <w:ind w:left="567" w:hanging="567"/>
        <w:jc w:val="both"/>
      </w:pPr>
      <w:r>
        <w:rPr>
          <w:rFonts w:ascii="Times New Roman" w:hAnsi="Times New Roman" w:cs="Times New Roman" w:eastAsia="Times New Roman"/>
          <w:b w:val="0"/>
          <w:i w:val="0"/>
          <w:color w:val="000000"/>
          <w:sz w:val="28"/>
        </w:rPr>
        <w:t>10. Об утверждении Методических указаний о государственной кадастровой оценке : приказ Росреестра от 04.08.2021 № П/0336.</w:t>
      </w:r>
    </w:p>
    <w:p>
      <w:pPr>
        <w:spacing w:line="360" w:lineRule="auto" w:before="0" w:after="40"/>
        <w:ind w:left="567" w:hanging="567"/>
        <w:jc w:val="both"/>
      </w:pPr>
      <w:r>
        <w:rPr>
          <w:rFonts w:ascii="Times New Roman" w:hAnsi="Times New Roman" w:cs="Times New Roman" w:eastAsia="Times New Roman"/>
          <w:b w:val="0"/>
          <w:i w:val="0"/>
          <w:color w:val="000000"/>
          <w:sz w:val="28"/>
        </w:rPr>
        <w:t>11. Об утверждении федеральных стандартов оценки и о внесении изменений в некоторые приказы Минэкономразвития России о федеральных стандартах оценки : приказ Минэкономразвития России от 14.04.2022 № 200 (утверждены ФСО I, ФСО II, ФСО III, ФСО IV, ФСО V и ФСО VI).</w:t>
      </w:r>
    </w:p>
    <w:p>
      <w:pPr>
        <w:spacing w:line="360" w:lineRule="auto" w:before="0" w:after="40"/>
        <w:ind w:left="567" w:hanging="567"/>
        <w:jc w:val="both"/>
      </w:pPr>
      <w:r>
        <w:rPr>
          <w:rFonts w:ascii="Times New Roman" w:hAnsi="Times New Roman" w:cs="Times New Roman" w:eastAsia="Times New Roman"/>
          <w:b w:val="0"/>
          <w:i w:val="0"/>
          <w:color w:val="000000"/>
          <w:sz w:val="28"/>
        </w:rPr>
        <w:t>12. Об утверждении результатов определения кадастровой стоимости : распоряжение Министерства имущественных отношений Московской области от 28.11.2022 № 15ВР-2452 (результаты по состоянию на 01.01.2022, применяются с 01.01.2023).</w:t>
      </w:r>
    </w:p>
    <w:p>
      <w:pPr>
        <w:spacing w:line="360" w:lineRule="auto" w:before="0" w:after="40"/>
        <w:ind w:left="567" w:hanging="567"/>
        <w:jc w:val="both"/>
      </w:pPr>
      <w:r>
        <w:rPr>
          <w:rFonts w:ascii="Times New Roman" w:hAnsi="Times New Roman" w:cs="Times New Roman" w:eastAsia="Times New Roman"/>
          <w:b w:val="0"/>
          <w:i w:val="0"/>
          <w:color w:val="000000"/>
          <w:sz w:val="28"/>
        </w:rPr>
        <w:t>13. Об установлении и введении в действие земельного налога : решение Совета депутатов городского округа Домодедово Московской области от 25.09.2007 № 1-4/53 (в редакции решения от 23.10.2024 № 1-4/1486, действующей с 01.01.2025).</w:t>
      </w:r>
    </w:p>
    <w:p>
      <w:pPr>
        <w:spacing w:line="360" w:lineRule="auto" w:before="200" w:after="120"/>
        <w:ind w:firstLine="0" w:left="0"/>
        <w:jc w:val="center"/>
      </w:pPr>
      <w:r>
        <w:rPr>
          <w:rFonts w:ascii="Times New Roman" w:hAnsi="Times New Roman" w:cs="Times New Roman" w:eastAsia="Times New Roman"/>
          <w:b/>
          <w:i w:val="0"/>
          <w:color w:val="000000"/>
          <w:sz w:val="28"/>
        </w:rPr>
        <w:t>Литература</w:t>
      </w:r>
    </w:p>
    <w:p>
      <w:pPr>
        <w:spacing w:line="360" w:lineRule="auto" w:before="0" w:after="40"/>
        <w:ind w:left="567" w:hanging="567"/>
        <w:jc w:val="both"/>
      </w:pPr>
      <w:r>
        <w:rPr>
          <w:rFonts w:ascii="Times New Roman" w:hAnsi="Times New Roman" w:cs="Times New Roman" w:eastAsia="Times New Roman"/>
          <w:b w:val="0"/>
          <w:i w:val="0"/>
          <w:color w:val="000000"/>
          <w:sz w:val="28"/>
        </w:rPr>
        <w:t>14. Арутюнов, Д. В. Анализ информационного обеспечения ЕГРН / Д. В. Арутюнов, Е. И. Аврунев // Интерэкспо ГЕО-Сибирь. — Новосибирск : СГУГиТ, 2024. — Т. 1. — С. 35–41. — DOI: 10.33764/2687-041X-2024-1-35-41.</w:t>
      </w:r>
    </w:p>
    <w:p>
      <w:pPr>
        <w:spacing w:line="360" w:lineRule="auto" w:before="0" w:after="40"/>
        <w:ind w:left="567" w:hanging="567"/>
        <w:jc w:val="both"/>
      </w:pPr>
      <w:r>
        <w:rPr>
          <w:rFonts w:ascii="Times New Roman" w:hAnsi="Times New Roman" w:cs="Times New Roman" w:eastAsia="Times New Roman"/>
          <w:b w:val="0"/>
          <w:i w:val="0"/>
          <w:color w:val="000000"/>
          <w:sz w:val="28"/>
        </w:rPr>
        <w:t>15. Варламов, А. А. Кадастровая деятельность : учебник / А. А. Варламов, С. А. Гальченко, Е. И. Аврунев ; под общ. ред. А. А. Варламова. — 2-е изд., доп. — Москва : ФОРУМ : ИНФРА-М, 2023. — 280 с. — ISBN 978-5-00091-576-9.</w:t>
      </w:r>
    </w:p>
    <w:p>
      <w:pPr>
        <w:spacing w:line="360" w:lineRule="auto" w:before="0" w:after="40"/>
        <w:ind w:left="567" w:hanging="567"/>
        <w:jc w:val="both"/>
      </w:pPr>
      <w:r>
        <w:rPr>
          <w:rFonts w:ascii="Times New Roman" w:hAnsi="Times New Roman" w:cs="Times New Roman" w:eastAsia="Times New Roman"/>
          <w:b w:val="0"/>
          <w:i w:val="0"/>
          <w:color w:val="000000"/>
          <w:sz w:val="28"/>
        </w:rPr>
        <w:t>16. Варламов, А. А. Оценка объектов недвижимости : учебник / А. А. Варламов, С. И. Комаров. — 3-е изд., перераб. и доп. — Москва : ИНФРА-М, 2023. — 320 с. — ISBN 978-5-16-016316-1.</w:t>
      </w:r>
    </w:p>
    <w:p>
      <w:pPr>
        <w:spacing w:line="360" w:lineRule="auto" w:before="0" w:after="40"/>
        <w:ind w:left="567" w:hanging="567"/>
        <w:jc w:val="both"/>
      </w:pPr>
      <w:r>
        <w:rPr>
          <w:rFonts w:ascii="Times New Roman" w:hAnsi="Times New Roman" w:cs="Times New Roman" w:eastAsia="Times New Roman"/>
          <w:b w:val="0"/>
          <w:i w:val="0"/>
          <w:color w:val="000000"/>
          <w:sz w:val="28"/>
        </w:rPr>
        <w:t>17. Григорьев, С. А. Достоверность сведений ЕГРН и ее критерии / С. А. Григорьев // Вестник СГУГиТ. — 2021. — Т. 26, № 4. — С. 100–107. — DOI: 10.33764/2411-1759-2021-26-4-100-107.</w:t>
      </w:r>
    </w:p>
    <w:p>
      <w:pPr>
        <w:spacing w:line="360" w:lineRule="auto" w:before="0" w:after="40"/>
        <w:ind w:left="567" w:hanging="567"/>
        <w:jc w:val="both"/>
      </w:pPr>
      <w:r>
        <w:rPr>
          <w:rFonts w:ascii="Times New Roman" w:hAnsi="Times New Roman" w:cs="Times New Roman" w:eastAsia="Times New Roman"/>
          <w:b w:val="0"/>
          <w:i w:val="0"/>
          <w:color w:val="000000"/>
          <w:sz w:val="28"/>
        </w:rPr>
        <w:t>18. Козина, М. В. Анализ проблем формирования Единого информационного ресурса о земле и недвижимости / М. В. Козина, А. Е. Власова // Интерэкспо ГЕО-Сибирь. — Новосибирск : СГУГиТ, 2023. — С. 101–108. — DOI: 10.33764/2687-041X-2023-1-101-108.</w:t>
      </w:r>
    </w:p>
    <w:p>
      <w:pPr>
        <w:spacing w:line="360" w:lineRule="auto" w:before="0" w:after="40"/>
        <w:ind w:left="567" w:hanging="567"/>
        <w:jc w:val="both"/>
      </w:pPr>
      <w:r>
        <w:rPr>
          <w:rFonts w:ascii="Times New Roman" w:hAnsi="Times New Roman" w:cs="Times New Roman" w:eastAsia="Times New Roman"/>
          <w:b w:val="0"/>
          <w:i w:val="0"/>
          <w:color w:val="000000"/>
          <w:sz w:val="28"/>
        </w:rPr>
        <w:t>19. Кубраков, Д. В. Практика реализации доходного подхода при массовой (кадастровой) оценке земель, обладающих потенциалом хозяйственного использования / Д. В. Кубраков, Т. Н. Жигулина, В. А. Мерецкий, Н. М. Лучникова, М. Н. Кострицина // Вестник СГУГиТ. — 2024. — Т. 29, № 1. — С. 97–107. — DOI: 10.33764/2411-1759-2024-29-1-97-107.</w:t>
      </w:r>
    </w:p>
    <w:p>
      <w:pPr>
        <w:spacing w:line="360" w:lineRule="auto" w:before="0" w:after="40"/>
        <w:ind w:left="567" w:hanging="567"/>
        <w:jc w:val="both"/>
      </w:pPr>
      <w:r>
        <w:rPr>
          <w:rFonts w:ascii="Times New Roman" w:hAnsi="Times New Roman" w:cs="Times New Roman" w:eastAsia="Times New Roman"/>
          <w:b w:val="0"/>
          <w:i w:val="0"/>
          <w:color w:val="000000"/>
          <w:sz w:val="28"/>
        </w:rPr>
        <w:t>20. Курлов, А. В. Использование предиктивной геоинформационной модели для оценки рыночной стоимости земельных участков в экспертной системе / А. В. Курлов // Вестник СГУГиТ. — 2023. — Т. 28, № 5. — С. 103–112. — DOI: 10.33764/2411-1759-2023-28-5-103-112.</w:t>
      </w:r>
    </w:p>
    <w:p>
      <w:pPr>
        <w:spacing w:line="360" w:lineRule="auto" w:before="0" w:after="40"/>
        <w:ind w:left="567" w:hanging="567"/>
        <w:jc w:val="both"/>
      </w:pPr>
      <w:r>
        <w:rPr>
          <w:rFonts w:ascii="Times New Roman" w:hAnsi="Times New Roman" w:cs="Times New Roman" w:eastAsia="Times New Roman"/>
          <w:b w:val="0"/>
          <w:i w:val="0"/>
          <w:color w:val="000000"/>
          <w:sz w:val="28"/>
        </w:rPr>
        <w:t>21. Межуева, Т. В. Оценка стоимости недвижимости : учебное пособие / Т. В. Межуева. — Новосибирск : СГУГиТ, 2023. — 73 с. — ISBN 978-5-907711-35-8.</w:t>
      </w:r>
    </w:p>
    <w:p>
      <w:pPr>
        <w:spacing w:line="360" w:lineRule="auto" w:before="0" w:after="40"/>
        <w:ind w:left="567" w:hanging="567"/>
        <w:jc w:val="both"/>
      </w:pPr>
      <w:r>
        <w:rPr>
          <w:rFonts w:ascii="Times New Roman" w:hAnsi="Times New Roman" w:cs="Times New Roman" w:eastAsia="Times New Roman"/>
          <w:b w:val="0"/>
          <w:i w:val="0"/>
          <w:color w:val="000000"/>
          <w:sz w:val="28"/>
        </w:rPr>
        <w:t>22. Пылаева, А. В. Искусственный интеллект и нейронные сети — инструменты кадастровой оценки недвижимости в составе Национальной системы пространственных данных / А. В. Пылаева, М. В. Акинин // Имущественные отношения в Российской Федерации. — 2024. — № 4 (271). — С. 23–31.</w:t>
      </w:r>
    </w:p>
    <w:p>
      <w:pPr>
        <w:spacing w:line="360" w:lineRule="auto" w:before="0" w:after="40"/>
        <w:ind w:left="567" w:hanging="567"/>
        <w:jc w:val="both"/>
      </w:pPr>
      <w:r>
        <w:rPr>
          <w:rFonts w:ascii="Times New Roman" w:hAnsi="Times New Roman" w:cs="Times New Roman" w:eastAsia="Times New Roman"/>
          <w:b w:val="0"/>
          <w:i w:val="0"/>
          <w:color w:val="000000"/>
          <w:sz w:val="28"/>
        </w:rPr>
        <w:t>23. Пылаева, А. В. Мониторинг рынка недвижимости в условиях создания Национальной системы пространственных данных / А. В. Пылаева, О. В. Кольченко // Интерэкспо ГЕО-Сибирь. — Новосибирск : СГУГиТ, 2023. — С. 65–73. — DOI: 10.33764/2618-981X-2023-1-2-65-73.</w:t>
      </w:r>
    </w:p>
    <w:p>
      <w:pPr>
        <w:spacing w:line="360" w:lineRule="auto" w:before="0" w:after="40"/>
        <w:ind w:left="567" w:hanging="567"/>
        <w:jc w:val="both"/>
      </w:pPr>
      <w:r>
        <w:rPr>
          <w:rFonts w:ascii="Times New Roman" w:hAnsi="Times New Roman" w:cs="Times New Roman" w:eastAsia="Times New Roman"/>
          <w:b w:val="0"/>
          <w:i w:val="0"/>
          <w:color w:val="000000"/>
          <w:sz w:val="28"/>
        </w:rPr>
        <w:t>24. Пылаева, А. В. О роли статистических показателей развития территории в государственной кадастровой оценке / А. В. Пылаева, О. В. Кольченко // Вестник СГУГиТ. — 2024. — Т. 29, № 3. — С. 177–191. — DOI: 10.33764/2411-1759-2024-29-3-177-191.</w:t>
      </w:r>
    </w:p>
    <w:p>
      <w:pPr>
        <w:spacing w:line="360" w:lineRule="auto" w:before="0" w:after="40"/>
        <w:ind w:left="567" w:hanging="567"/>
        <w:jc w:val="both"/>
      </w:pPr>
      <w:r>
        <w:rPr>
          <w:rFonts w:ascii="Times New Roman" w:hAnsi="Times New Roman" w:cs="Times New Roman" w:eastAsia="Times New Roman"/>
          <w:b w:val="0"/>
          <w:i w:val="0"/>
          <w:color w:val="000000"/>
          <w:sz w:val="28"/>
        </w:rPr>
        <w:t>25. Пылаева, А. В. Основы кадастровой оценки недвижимости : учебное пособие для среднего профессионального образования / А. В. Пылаева. — 3-е изд., испр. и доп. — Москва : Юрайт, 2022. — 196 с. — ISBN 978-5-534-14560-1.</w:t>
      </w:r>
    </w:p>
    <w:p>
      <w:pPr>
        <w:spacing w:line="360" w:lineRule="auto" w:before="0" w:after="40"/>
        <w:ind w:left="567" w:hanging="567"/>
        <w:jc w:val="both"/>
      </w:pPr>
      <w:r>
        <w:rPr>
          <w:rFonts w:ascii="Times New Roman" w:hAnsi="Times New Roman" w:cs="Times New Roman" w:eastAsia="Times New Roman"/>
          <w:b w:val="0"/>
          <w:i w:val="0"/>
          <w:color w:val="000000"/>
          <w:sz w:val="28"/>
        </w:rPr>
        <w:t>26. Carranza, J. P. Mass appraisal as affordable public policy: open data and machine learning for mapping urban land values / J. P. Carranza, M. A. Piumetto, C. M. Lucca, E. Da Silva // Land Use Policy. — 2022. — Vol. 119. — Art. 106211. — DOI: 10.1016/j.landusepol.2022.106211.</w:t>
      </w:r>
    </w:p>
    <w:p>
      <w:pPr>
        <w:spacing w:line="360" w:lineRule="auto" w:before="0" w:after="40"/>
        <w:ind w:left="567" w:hanging="567"/>
        <w:jc w:val="both"/>
      </w:pPr>
      <w:r>
        <w:rPr>
          <w:rFonts w:ascii="Times New Roman" w:hAnsi="Times New Roman" w:cs="Times New Roman" w:eastAsia="Times New Roman"/>
          <w:b w:val="0"/>
          <w:i w:val="0"/>
          <w:color w:val="000000"/>
          <w:sz w:val="28"/>
        </w:rPr>
        <w:t>27. Kara, A. Visualisation and dissemination of 3D valuation units and groups – an LADM valuation information compliant prototype / A. Kara, P. van Oosterom, R. Kathmann, C. Lemmen // Land Use Policy. — 2023. — Art. 106829. — DOI: 10.1016/j.landusepol.2023.106829.</w:t>
      </w:r>
    </w:p>
    <w:p>
      <w:pPr>
        <w:spacing w:line="360" w:lineRule="auto" w:before="0" w:after="40"/>
        <w:ind w:left="567" w:hanging="567"/>
        <w:jc w:val="both"/>
      </w:pPr>
      <w:r>
        <w:rPr>
          <w:rFonts w:ascii="Times New Roman" w:hAnsi="Times New Roman" w:cs="Times New Roman" w:eastAsia="Times New Roman"/>
          <w:b w:val="0"/>
          <w:i w:val="0"/>
          <w:color w:val="000000"/>
          <w:sz w:val="28"/>
        </w:rPr>
        <w:t>28. Potsiou, C. Perspectives on cadastre and land management in support of sustainable real estate markets / C. Potsiou, G. Navratil // Land. — 2024. — Vol. 13. — Art. 573. — DOI: 10.3390/land13050573.</w:t>
      </w:r>
    </w:p>
    <w:p>
      <w:pPr>
        <w:spacing w:line="360" w:lineRule="auto" w:before="200" w:after="120"/>
        <w:ind w:firstLine="0" w:left="0"/>
        <w:jc w:val="center"/>
      </w:pPr>
      <w:r>
        <w:rPr>
          <w:rFonts w:ascii="Times New Roman" w:hAnsi="Times New Roman" w:cs="Times New Roman" w:eastAsia="Times New Roman"/>
          <w:b/>
          <w:i w:val="0"/>
          <w:color w:val="000000"/>
          <w:sz w:val="28"/>
        </w:rPr>
        <w:t>Интернет-ресурсы</w:t>
      </w:r>
    </w:p>
    <w:p>
      <w:pPr>
        <w:spacing w:line="360" w:lineRule="auto" w:before="0" w:after="40"/>
        <w:ind w:left="567" w:hanging="567"/>
        <w:jc w:val="both"/>
      </w:pPr>
      <w:r>
        <w:rPr>
          <w:rFonts w:ascii="Times New Roman" w:hAnsi="Times New Roman" w:cs="Times New Roman" w:eastAsia="Times New Roman"/>
          <w:b w:val="0"/>
          <w:i w:val="0"/>
          <w:color w:val="000000"/>
          <w:sz w:val="28"/>
        </w:rPr>
        <w:t>29. Справочная информация по объектам недвижимости в режиме online. Земельный участок 50:28:0000000:51403, дата обновления сведений 28.09.2026. Сведения получены запросом публичного сервиса 18.10.2026, копия экрана приведена в приложении Д // Росреестр. — URL: https://lk.rosreestr.ru/eservices/real-estate-objects-online (дата обращения: 18.10.2026).</w:t>
      </w:r>
    </w:p>
    <w:p>
      <w:pPr>
        <w:spacing w:line="360" w:lineRule="auto" w:before="0" w:after="40"/>
        <w:ind w:left="567" w:hanging="567"/>
        <w:jc w:val="both"/>
      </w:pPr>
      <w:r>
        <w:rPr>
          <w:rFonts w:ascii="Times New Roman" w:hAnsi="Times New Roman" w:cs="Times New Roman" w:eastAsia="Times New Roman"/>
          <w:b w:val="0"/>
          <w:i w:val="0"/>
          <w:color w:val="000000"/>
          <w:sz w:val="28"/>
        </w:rPr>
        <w:t>30. Карточка и карта земельного участка 50:28:0000000:51403. Сведения получены просмотром портала по кадастровому номеру 18.10.2026 и использованы в таблице 2 // Национальная система пространственных данных. — URL: https://nspd.gov.ru/ (дата обращения: 18.10.2026).</w:t>
      </w:r>
    </w:p>
    <w:p>
      <w:pPr>
        <w:spacing w:line="360" w:lineRule="auto" w:before="0" w:after="40"/>
        <w:ind w:left="567" w:hanging="567"/>
        <w:jc w:val="both"/>
      </w:pPr>
      <w:r>
        <w:rPr>
          <w:rFonts w:ascii="Times New Roman" w:hAnsi="Times New Roman" w:cs="Times New Roman" w:eastAsia="Times New Roman"/>
          <w:b w:val="0"/>
          <w:i w:val="0"/>
          <w:color w:val="000000"/>
          <w:sz w:val="28"/>
        </w:rPr>
        <w:t>31. Межевой план земельного участка с кадастровым номером 50:28:0000000:51403 от 09.09.2015 / кадастровый инженер Е. В. М. Файл опубликован ООО «ЦГиКУ» как образец межевого плана и принят в работу, поскольку номер, адрес товарищества и площадь совпадают с карточкой Росреестра. — URL: https://cgiku.ru/obrazets-mezhevogo-plana-zemel-nogo-uchastka/ (дата обращения: 18.10.2026).</w:t>
      </w:r>
    </w:p>
    <w:p>
      <w:pPr>
        <w:spacing w:line="360" w:lineRule="auto" w:before="0" w:after="40"/>
        <w:ind w:left="567" w:hanging="567"/>
        <w:jc w:val="both"/>
      </w:pPr>
      <w:r>
        <w:rPr>
          <w:rFonts w:ascii="Times New Roman" w:hAnsi="Times New Roman" w:cs="Times New Roman" w:eastAsia="Times New Roman"/>
          <w:b w:val="0"/>
          <w:i w:val="0"/>
          <w:color w:val="000000"/>
          <w:sz w:val="28"/>
        </w:rPr>
        <w:t>32. Объявления о продаже земельных участков, просмотренные 19.10.2026: СНТ «Аякс», 11 сот., № 330889759; СНТ «Борисово-2», 10 сот., № 329905960; СНТ «Ветеран-5», уч. 79, 10 сот., № 331691566 // ЦИАН. — URL: https://www.cian.ru/sale/suburban/330889759/ ; https://www.cian.ru/sale/suburban/329905960/ ; https://www.cian.ru/sale/suburban/331691566/ (дата обращения: 19.10.2026).</w:t>
      </w:r>
    </w:p>
    <w:p>
      <w:pPr>
        <w:spacing w:line="360" w:lineRule="auto" w:before="0" w:after="40"/>
        <w:ind w:left="567" w:hanging="567"/>
        <w:jc w:val="both"/>
      </w:pPr>
      <w:r>
        <w:rPr>
          <w:rFonts w:ascii="Times New Roman" w:hAnsi="Times New Roman" w:cs="Times New Roman" w:eastAsia="Times New Roman"/>
          <w:b w:val="0"/>
          <w:i w:val="0"/>
          <w:color w:val="000000"/>
          <w:sz w:val="28"/>
        </w:rPr>
        <w:t>33. Количество земельных участков без учтенных границ в России сократилось более чем на девять миллионов : сообщение от 28.02.2025 (в ЕГРН учтено 60,9 млн земельных участков, координатное описание границ имеют 43,5 млн) // Строительная газета. — URL: https://stroygaz.ru/news/regulation/kolichestvo-zemelnykh-uchastkov-bez-uchtennykh-granits-v-rossii-sokratilos-bolee-chem-na-devyat-mill/ (дата обращения: 19.10.2026).</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А</w:t>
      </w:r>
    </w:p>
    <w:p>
      <w:pPr>
        <w:spacing w:line="360" w:lineRule="auto" w:before="0" w:after="160"/>
        <w:ind w:firstLine="0" w:left="0"/>
        <w:jc w:val="center"/>
      </w:pPr>
      <w:r>
        <w:rPr>
          <w:rFonts w:ascii="Times New Roman" w:hAnsi="Times New Roman" w:cs="Times New Roman" w:eastAsia="Times New Roman"/>
          <w:b/>
          <w:i w:val="0"/>
          <w:color w:val="000000"/>
          <w:sz w:val="28"/>
        </w:rPr>
        <w:t>Сводные сведения об объекте оценки</w:t>
      </w:r>
    </w:p>
    <w:p>
      <w:pPr>
        <w:spacing w:line="360" w:lineRule="auto" w:before="0" w:after="0"/>
        <w:ind w:firstLine="709" w:left="0"/>
        <w:jc w:val="both"/>
      </w:pPr>
      <w:r>
        <w:rPr>
          <w:rFonts w:ascii="Times New Roman" w:hAnsi="Times New Roman" w:cs="Times New Roman" w:eastAsia="Times New Roman"/>
          <w:b w:val="0"/>
          <w:i w:val="0"/>
          <w:color w:val="000000"/>
          <w:sz w:val="28"/>
        </w:rPr>
        <w:t>Таблица А.1 составлена по публичной карточке Росреестра, карточке НСПД и межевому плану. Показатели, которые хотя бы в одном источнике отсутствуют, не заполнялись предположительно.</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А.1 – Паспорт объекта оценки</w:t>
      </w:r>
    </w:p>
    <w:tbl>
      <w:tblPr>
        <w:tblW w:type="dxa" w:w="9639"/>
        <w:jc w:val="center"/>
        <w:tblLayout w:type="fixed"/>
        <w:tblLook w:firstColumn="1" w:firstRow="1" w:lastColumn="0" w:lastRow="0" w:noHBand="0" w:noVBand="1" w:val="04A0"/>
      </w:tblPr>
      <w:tblGrid>
        <w:gridCol w:w="3969"/>
        <w:gridCol w:w="5670"/>
      </w:tblGrid>
      <w:tr>
        <w:trPr>
          <w:cantSplit/>
          <w:tblHeader/>
        </w:trPr>
        <w:tc>
          <w:tcPr>
            <w:tcW w:type="dxa" w:w="3969"/>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Реквизит</w:t>
            </w:r>
          </w:p>
        </w:tc>
        <w:tc>
          <w:tcPr>
            <w:tcW w:type="dxa" w:w="5670"/>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Значение</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Вид объекта</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Земельный участок</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Кадастровый номер</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50:28:0000000:51403</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Дата присвоения номера</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24.04.2015</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Кадастровый квартал по карте</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Адрес по ЕГРН</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Московская область, г. о. Домодедово, тер. СНТ «Ветеран-5», з/у 7</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Адрес в межевом плане</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Московская область, Домодедовский район, СНТ «Ветеран-5», уч. № 7</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1 005 кв. м (10,05 сотки)</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Допуск площади</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 кв. м</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Категория земель</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Земли сельскохозяйственного назначения</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Вид разрешенного использования</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Для садоводства</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Форма собственности</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Частная</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Зарегистрированное право</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Собственность, № 50-50/028-50/028/005/2016-1164/1 от 22.03.2016</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Кадастровая стоимость</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 руб.</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Дата определения / внесения</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01.01.2022 / 05.12.2025</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УПКС</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3 063,55 руб./кв. м</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Система координат границы</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МСК-50</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Число характерных точек</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 (н1–н5)</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Рыночная стоимость на 19.10.2026</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1 429 000 руб. (учебный расчет)</w:t>
            </w:r>
          </w:p>
        </w:tc>
      </w:tr>
    </w:tbl>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Б</w:t>
      </w:r>
    </w:p>
    <w:p>
      <w:pPr>
        <w:spacing w:line="360" w:lineRule="auto" w:before="0" w:after="160"/>
        <w:ind w:firstLine="0" w:left="0"/>
        <w:jc w:val="center"/>
      </w:pPr>
      <w:r>
        <w:rPr>
          <w:rFonts w:ascii="Times New Roman" w:hAnsi="Times New Roman" w:cs="Times New Roman" w:eastAsia="Times New Roman"/>
          <w:b/>
          <w:i w:val="0"/>
          <w:color w:val="000000"/>
          <w:sz w:val="28"/>
        </w:rPr>
        <w:t>Каталог координат, разбивочная ведомость и расчет площади</w:t>
      </w:r>
    </w:p>
    <w:p>
      <w:pPr>
        <w:spacing w:line="360" w:lineRule="auto" w:before="0" w:after="0"/>
        <w:ind w:firstLine="709" w:left="0"/>
        <w:jc w:val="both"/>
      </w:pPr>
      <w:r>
        <w:rPr>
          <w:rFonts w:ascii="Times New Roman" w:hAnsi="Times New Roman" w:cs="Times New Roman" w:eastAsia="Times New Roman"/>
          <w:b w:val="0"/>
          <w:i w:val="0"/>
          <w:color w:val="000000"/>
          <w:sz w:val="28"/>
        </w:rPr>
        <w:t>Разбивка участка на местности выполняется выносом точек н1–н5 по координатам МСК-50. Контролем служат дирекционный угол и горизонтальное проложение каждой стороны. После выноса последней точки ход должен замкнуться на н1 с расхождением в пределах средней квадратической погрешности положения точки.</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Б.1 – Разбивочная ведомость</w:t>
      </w:r>
    </w:p>
    <w:tbl>
      <w:tblPr>
        <w:tblW w:type="dxa" w:w="9639"/>
        <w:jc w:val="center"/>
        <w:tblLayout w:type="fixed"/>
        <w:tblLook w:firstColumn="1" w:firstRow="1" w:lastColumn="0" w:lastRow="0" w:noHBand="0" w:noVBand="1" w:val="04A0"/>
      </w:tblPr>
      <w:tblGrid>
        <w:gridCol w:w="793"/>
        <w:gridCol w:w="1020"/>
        <w:gridCol w:w="1701"/>
        <w:gridCol w:w="1814"/>
        <w:gridCol w:w="1247"/>
        <w:gridCol w:w="1814"/>
        <w:gridCol w:w="1247"/>
      </w:tblGrid>
      <w:tr>
        <w:trPr>
          <w:cantSplit/>
          <w:tblHeader/>
        </w:trPr>
        <w:tc>
          <w:tcPr>
            <w:tcW w:type="dxa" w:w="793"/>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w:t>
            </w:r>
          </w:p>
        </w:tc>
        <w:tc>
          <w:tcPr>
            <w:tcW w:type="dxa" w:w="1020"/>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Точка</w:t>
            </w:r>
          </w:p>
        </w:tc>
        <w:tc>
          <w:tcPr>
            <w:tcW w:type="dxa" w:w="170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X, м</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Y, м</w:t>
            </w:r>
          </w:p>
        </w:tc>
        <w:tc>
          <w:tcPr>
            <w:tcW w:type="dxa" w:w="124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Сторона</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Дирекционный угол</w:t>
            </w:r>
          </w:p>
        </w:tc>
        <w:tc>
          <w:tcPr>
            <w:tcW w:type="dxa" w:w="124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S, м</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420840,25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2217780,05</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н1–н2</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85°14'26,8"</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21,57</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420842,04</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2217801,55</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н2–н3</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86°54'31,1"</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5,75</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420842,35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2217807,29</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н3–н4</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176°05'08,5"</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37,65</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420804,79</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2217809,86</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н4–н5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268°45'06,8"</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27,09</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420804,20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2217782,78</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н5–н1</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355°40'09,7"</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36,15</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Исходный геодезический пункт для схемы построений: «Шахово», пирамида, 3 класс, X = 419 546,85 м, Y = 2 214 903,66 м. Расстояние от пункта до точки н2 — 3 174 м (3,17 км).</w:t>
      </w:r>
    </w:p>
    <w:p>
      <w:pPr>
        <w:spacing w:line="360" w:lineRule="auto" w:before="0" w:after="0"/>
        <w:ind w:firstLine="709" w:left="0"/>
        <w:jc w:val="both"/>
      </w:pPr>
      <w:r>
        <w:rPr>
          <w:rFonts w:ascii="Times New Roman" w:hAnsi="Times New Roman" w:cs="Times New Roman" w:eastAsia="Times New Roman"/>
          <w:b w:val="0"/>
          <w:i w:val="0"/>
          <w:color w:val="000000"/>
          <w:sz w:val="28"/>
        </w:rPr>
        <w:t>Площадь вычислена по формуле (2). Слагаемые суммы приведены в таблице Б.2.</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Б.2 – Слагаемые формулы площади</w:t>
      </w:r>
    </w:p>
    <w:tbl>
      <w:tblPr>
        <w:tblW w:type="dxa" w:w="9639"/>
        <w:jc w:val="center"/>
        <w:tblLayout w:type="fixed"/>
        <w:tblLook w:firstColumn="1" w:firstRow="1" w:lastColumn="0" w:lastRow="0" w:noHBand="0" w:noVBand="1" w:val="04A0"/>
      </w:tblPr>
      <w:tblGrid>
        <w:gridCol w:w="4536"/>
        <w:gridCol w:w="5103"/>
      </w:tblGrid>
      <w:tr>
        <w:trPr>
          <w:cantSplit/>
          <w:tblHeader/>
        </w:trPr>
        <w:tc>
          <w:tcPr>
            <w:tcW w:type="dxa" w:w="4536"/>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Участок контура</w:t>
            </w:r>
          </w:p>
        </w:tc>
        <w:tc>
          <w:tcPr>
            <w:tcW w:type="dxa" w:w="5103"/>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Xi·Yi+1 − Xi+1·Yi, кв. м</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н1–н2</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5 078 239,09</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н2–н3</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1 728 114,83</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н3–н4</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84 382 406,65</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н4–н5</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-10 086 885,90</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н5–н1</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-81 099 864,68</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Сумма</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2 009,99</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Модуль суммы / 2 (площадь)</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1 004,99</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Полученная площадь 1 004,99 кв. м округляется до 1 005 кв. м. При Mt = 0,20 м предельная погрешность ΔP = 3,5 × 0,20 × √1005 = 22,19 кв. м, в плане принята равной 22 кв. м. При не округленном корне Mt = 0,2088 м получается 23,17 кв. м. Если подставить уже округленное значение 0,209 м, получается 23,19 кв. м. Разница объясняется шагом округления Mt.</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В</w:t>
      </w:r>
    </w:p>
    <w:p>
      <w:pPr>
        <w:spacing w:line="360" w:lineRule="auto" w:before="0" w:after="120"/>
        <w:ind w:firstLine="0" w:left="0"/>
        <w:jc w:val="center"/>
      </w:pPr>
      <w:r>
        <w:rPr>
          <w:rFonts w:ascii="Times New Roman" w:hAnsi="Times New Roman" w:cs="Times New Roman" w:eastAsia="Times New Roman"/>
          <w:b/>
          <w:i w:val="0"/>
          <w:color w:val="000000"/>
          <w:sz w:val="28"/>
        </w:rPr>
        <w:t>Чертеж земельного участка 50:28:0000000:51403</w:t>
      </w:r>
    </w:p>
    <w:p>
      <w:pPr>
        <w:spacing w:line="360" w:lineRule="auto" w:before="0" w:after="0"/>
        <w:ind w:firstLine="709" w:left="0"/>
        <w:jc w:val="both"/>
      </w:pPr>
      <w:r>
        <w:rPr>
          <w:rFonts w:ascii="Times New Roman" w:hAnsi="Times New Roman" w:cs="Times New Roman" w:eastAsia="Times New Roman"/>
          <w:b w:val="0"/>
          <w:i w:val="0"/>
          <w:color w:val="000000"/>
          <w:sz w:val="28"/>
        </w:rPr>
        <w:t>Чертеж построен по каталогу координат межевого плана в системе МСК-50. Красная линия обозначает границу, сведения о которой достаточны для определения ее местоположения. Подписи длин соответствуют ведомости плана и контрольному расчету. Линейный масштаб позволяет пользоваться чертежом при разбивке независимо от масштаба печати страницы.</w:t>
      </w:r>
    </w:p>
    <w:p>
      <w:pPr>
        <w:keepNext/>
        <w:keepLines/>
        <w:spacing w:line="360" w:lineRule="auto" w:before="120" w:after="40"/>
        <w:ind w:firstLine="0" w:left="0"/>
        <w:jc w:val="center"/>
      </w:pPr>
      <w:r>
        <w:drawing>
          <wp:inline xmlns:a="http://schemas.openxmlformats.org/drawingml/2006/main" xmlns:pic="http://schemas.openxmlformats.org/drawingml/2006/picture">
            <wp:extent cx="5760000" cy="6891429"/>
            <wp:docPr id="4" name="Picture 4"/>
            <wp:cNvGraphicFramePr>
              <a:graphicFrameLocks noChangeAspect="1"/>
            </wp:cNvGraphicFramePr>
            <a:graphic>
              <a:graphicData uri="http://schemas.openxmlformats.org/drawingml/2006/picture">
                <pic:pic>
                  <pic:nvPicPr>
                    <pic:cNvPr id="0" name="chertezh.png"/>
                    <pic:cNvPicPr/>
                  </pic:nvPicPr>
                  <pic:blipFill>
                    <a:blip r:embed="rId11"/>
                    <a:stretch>
                      <a:fillRect/>
                    </a:stretch>
                  </pic:blipFill>
                  <pic:spPr>
                    <a:xfrm>
                      <a:off x="0" y="0"/>
                      <a:ext cx="5760000" cy="689142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В.1 – Разбивочный чертеж участка 50:28:0000000:51403</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Г</w:t>
      </w:r>
    </w:p>
    <w:p>
      <w:pPr>
        <w:spacing w:line="360" w:lineRule="auto" w:before="0" w:after="160"/>
        <w:ind w:firstLine="0" w:left="0"/>
        <w:jc w:val="center"/>
      </w:pPr>
      <w:r>
        <w:rPr>
          <w:rFonts w:ascii="Times New Roman" w:hAnsi="Times New Roman" w:cs="Times New Roman" w:eastAsia="Times New Roman"/>
          <w:b/>
          <w:i w:val="0"/>
          <w:color w:val="000000"/>
          <w:sz w:val="28"/>
        </w:rPr>
        <w:t>Расчет рыночной стоимости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Дата оценки — 19.10.2026. Подход — сравнительный. Цены аналогов — цены предложений ЦИАН: СНТ «Аякс», объявление 330889759; СНТ «Борисово-2», объявление 329905960; СНТ «Ветеран-5», участок 79, объявление 331691566. Веса: 0,20; 0,30; 0,50. Округление итога — до 1 000 руб.</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Г.1 – Итог расчета</w:t>
      </w:r>
    </w:p>
    <w:tbl>
      <w:tblPr>
        <w:tblW w:type="dxa" w:w="9639"/>
        <w:jc w:val="center"/>
        <w:tblLayout w:type="fixed"/>
        <w:tblLook w:firstColumn="1" w:firstRow="1" w:lastColumn="0" w:lastRow="0" w:noHBand="0" w:noVBand="1" w:val="04A0"/>
      </w:tblPr>
      <w:tblGrid>
        <w:gridCol w:w="5670"/>
        <w:gridCol w:w="3969"/>
      </w:tblGrid>
      <w:tr>
        <w:trPr>
          <w:cantSplit/>
          <w:tblHeader/>
        </w:trPr>
        <w:tc>
          <w:tcPr>
            <w:tcW w:type="dxa" w:w="5670"/>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Шаг</w:t>
            </w:r>
          </w:p>
        </w:tc>
        <w:tc>
          <w:tcPr>
            <w:tcW w:type="dxa" w:w="3969"/>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Значение</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Скорректированная цена аналога 1</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193 310 руб./сотка</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Скорректированная цена аналога 2</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127 205 руб./сотка</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Скорректированная цена аналога 3</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130 815 руб./сотка</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Взвешенный удельный показатель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142 231 руб./сотка</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10,05 сотки (1 005 кв. м)</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Произведение до округления</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1 429 421,55 руб.</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Рыночная стоимость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1 429 000 руб.</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Удельный показатель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1 421,89 руб./кв. м</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Кадастровая стоимость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 руб.</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Отношение кадастровой к рыночной</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2,15</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Налог по кадастровой стоимости, 0,3 % с 01.01.2025</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9 236,59 руб./год</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Налог при прежней ставке 0,15 %</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4 618,30 руб./год</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Расчет выполнен в учебных целях. Он показывает порядок применения сведений ЕГРН при оценке и не заменяет отчет оценщика для оспаривания кадастровой стоимости.</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Д</w:t>
      </w:r>
    </w:p>
    <w:p>
      <w:pPr>
        <w:spacing w:line="360" w:lineRule="auto" w:before="0" w:after="120"/>
        <w:ind w:firstLine="0" w:left="0"/>
        <w:jc w:val="center"/>
      </w:pPr>
      <w:r>
        <w:rPr>
          <w:rFonts w:ascii="Times New Roman" w:hAnsi="Times New Roman" w:cs="Times New Roman" w:eastAsia="Times New Roman"/>
          <w:b/>
          <w:i w:val="0"/>
          <w:color w:val="000000"/>
          <w:sz w:val="28"/>
        </w:rPr>
        <w:t>Копии исходных материалов</w:t>
      </w:r>
    </w:p>
    <w:p>
      <w:pPr>
        <w:spacing w:line="360" w:lineRule="auto" w:before="0" w:after="0"/>
        <w:ind w:firstLine="709" w:left="0"/>
        <w:jc w:val="both"/>
      </w:pPr>
      <w:r>
        <w:rPr>
          <w:rFonts w:ascii="Times New Roman" w:hAnsi="Times New Roman" w:cs="Times New Roman" w:eastAsia="Times New Roman"/>
          <w:b w:val="0"/>
          <w:i w:val="0"/>
          <w:color w:val="000000"/>
          <w:sz w:val="28"/>
        </w:rPr>
        <w:t>Ниже приведены копии листов исходного комплекта, на которые опирается основная часть: справочная карточка Росреестра, полученная запросом публичного сервиса 18.10.2026, каталог координат межевого плана, чертеж плана и акт согласования границы. Полный комплект экранов карты НСПД использован при составлении таблицы 2. На копиях сохранены имена, как они напечатаны в источнике. В основном тексте заказчик, кадастровый инженер, председатель товарищества и смежный правообладатель обозначены инициалами.</w:t>
      </w:r>
    </w:p>
    <w:p>
      <w:pPr>
        <w:keepNext/>
        <w:keepLines/>
        <w:spacing w:line="360" w:lineRule="auto" w:before="120" w:after="40"/>
        <w:ind w:firstLine="0" w:left="0"/>
        <w:jc w:val="center"/>
      </w:pPr>
      <w:r>
        <w:drawing>
          <wp:inline xmlns:a="http://schemas.openxmlformats.org/drawingml/2006/main" xmlns:pic="http://schemas.openxmlformats.org/drawingml/2006/picture">
            <wp:extent cx="5220000" cy="7383589"/>
            <wp:docPr id="5" name="Picture 5"/>
            <wp:cNvGraphicFramePr>
              <a:graphicFrameLocks noChangeAspect="1"/>
            </wp:cNvGraphicFramePr>
            <a:graphic>
              <a:graphicData uri="http://schemas.openxmlformats.org/drawingml/2006/picture">
                <pic:pic>
                  <pic:nvPicPr>
                    <pic:cNvPr id="0" name="page_01.png"/>
                    <pic:cNvPicPr/>
                  </pic:nvPicPr>
                  <pic:blipFill>
                    <a:blip r:embed="rId13"/>
                    <a:stretch>
                      <a:fillRect/>
                    </a:stretch>
                  </pic:blipFill>
                  <pic:spPr>
                    <a:xfrm>
                      <a:off x="0" y="0"/>
                      <a:ext cx="5220000" cy="738358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Д.1 – Справочная информация Росреестра по участку 50:28:0000000:51403</w:t>
      </w:r>
    </w:p>
    <w:p>
      <w:pPr>
        <w:keepNext/>
        <w:keepLines/>
        <w:spacing w:line="360" w:lineRule="auto" w:before="120" w:after="40"/>
        <w:ind w:firstLine="0" w:left="0"/>
        <w:jc w:val="center"/>
      </w:pPr>
      <w:r>
        <w:drawing>
          <wp:inline xmlns:a="http://schemas.openxmlformats.org/drawingml/2006/main" xmlns:pic="http://schemas.openxmlformats.org/drawingml/2006/picture">
            <wp:extent cx="5220000" cy="7383589"/>
            <wp:docPr id="6" name="Picture 6"/>
            <wp:cNvGraphicFramePr>
              <a:graphicFrameLocks noChangeAspect="1"/>
            </wp:cNvGraphicFramePr>
            <a:graphic>
              <a:graphicData uri="http://schemas.openxmlformats.org/drawingml/2006/picture">
                <pic:pic>
                  <pic:nvPicPr>
                    <pic:cNvPr id="0" name="page_07.png"/>
                    <pic:cNvPicPr/>
                  </pic:nvPicPr>
                  <pic:blipFill>
                    <a:blip r:embed="rId14"/>
                    <a:stretch>
                      <a:fillRect/>
                    </a:stretch>
                  </pic:blipFill>
                  <pic:spPr>
                    <a:xfrm>
                      <a:off x="0" y="0"/>
                      <a:ext cx="5220000" cy="738358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Д.2 – Каталог координат и длины сторон в межевом плане</w:t>
      </w:r>
    </w:p>
    <w:p>
      <w:pPr>
        <w:keepNext/>
        <w:keepLines/>
        <w:spacing w:line="360" w:lineRule="auto" w:before="120" w:after="40"/>
        <w:ind w:firstLine="0" w:left="0"/>
        <w:jc w:val="center"/>
      </w:pPr>
      <w:r>
        <w:drawing>
          <wp:inline xmlns:a="http://schemas.openxmlformats.org/drawingml/2006/main" xmlns:pic="http://schemas.openxmlformats.org/drawingml/2006/picture">
            <wp:extent cx="5220000" cy="7383589"/>
            <wp:docPr id="7" name="Picture 7"/>
            <wp:cNvGraphicFramePr>
              <a:graphicFrameLocks noChangeAspect="1"/>
            </wp:cNvGraphicFramePr>
            <a:graphic>
              <a:graphicData uri="http://schemas.openxmlformats.org/drawingml/2006/picture">
                <pic:pic>
                  <pic:nvPicPr>
                    <pic:cNvPr id="0" name="page_14.png"/>
                    <pic:cNvPicPr/>
                  </pic:nvPicPr>
                  <pic:blipFill>
                    <a:blip r:embed="rId15"/>
                    <a:stretch>
                      <a:fillRect/>
                    </a:stretch>
                  </pic:blipFill>
                  <pic:spPr>
                    <a:xfrm>
                      <a:off x="0" y="0"/>
                      <a:ext cx="5220000" cy="738358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Д.3 – Чертеж земельного участка в составе межевого плана, масштаб 1:1 000</w:t>
      </w:r>
    </w:p>
    <w:p>
      <w:pPr>
        <w:keepNext/>
        <w:keepLines/>
        <w:spacing w:line="360" w:lineRule="auto" w:before="120" w:after="40"/>
        <w:ind w:firstLine="0" w:left="0"/>
        <w:jc w:val="center"/>
      </w:pPr>
      <w:r>
        <w:drawing>
          <wp:inline xmlns:a="http://schemas.openxmlformats.org/drawingml/2006/main" xmlns:pic="http://schemas.openxmlformats.org/drawingml/2006/picture">
            <wp:extent cx="5220000" cy="7383589"/>
            <wp:docPr id="8" name="Picture 8"/>
            <wp:cNvGraphicFramePr>
              <a:graphicFrameLocks noChangeAspect="1"/>
            </wp:cNvGraphicFramePr>
            <a:graphic>
              <a:graphicData uri="http://schemas.openxmlformats.org/drawingml/2006/picture">
                <pic:pic>
                  <pic:nvPicPr>
                    <pic:cNvPr id="0" name="page_15.png"/>
                    <pic:cNvPicPr/>
                  </pic:nvPicPr>
                  <pic:blipFill>
                    <a:blip r:embed="rId16"/>
                    <a:stretch>
                      <a:fillRect/>
                    </a:stretch>
                  </pic:blipFill>
                  <pic:spPr>
                    <a:xfrm>
                      <a:off x="0" y="0"/>
                      <a:ext cx="5220000" cy="738358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Д.4 – Акт согласования местоположения границы</w:t>
      </w:r>
    </w:p>
    <w:sectPr w:rsidR="00FC693F" w:rsidRPr="0006063C" w:rsidSect="00034616">
      <w:headerReference w:type="default" r:id="rId9"/>
      <w:pgSz w:w="11906" w:h="16838"/>
      <w:pgMar w:top="1134" w:right="567"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Pr>
        <w:rFonts w:ascii="Times New Roman" w:hAnsi="Times New Roman" w:cs="Times New Roman" w:eastAsia="Times New Roman"/>
        <w:b w:val="0"/>
        <w:i w:val="0"/>
        <w:color w:val="000000"/>
        <w:sz w:val="28"/>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