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before="0" w:after="0"/>
        <w:ind w:firstLine="0"/>
        <w:jc w:val="center"/>
      </w:pPr>
      <w:r>
        <w:rPr>
          <w:rFonts w:ascii="Times New Roman" w:hAnsi="Times New Roman" w:cs="Times New Roman" w:eastAsia="Times New Roman"/>
          <w:b/>
          <w:i w:val="0"/>
          <w:sz w:val="28"/>
        </w:rPr>
        <w:t>АККРЕДИТОВАННОЕ ОБРАЗОВАТЕЛЬНОЕ ЧАСТНОЕ УЧРЕЖДЕНИЕ</w:t>
      </w:r>
    </w:p>
    <w:p>
      <w:pPr>
        <w:keepNext w:val="0"/>
        <w:spacing w:line="360" w:lineRule="auto" w:before="0" w:after="0"/>
        <w:ind w:firstLine="0"/>
        <w:jc w:val="center"/>
      </w:pPr>
      <w:r>
        <w:rPr>
          <w:rFonts w:ascii="Times New Roman" w:hAnsi="Times New Roman" w:cs="Times New Roman" w:eastAsia="Times New Roman"/>
          <w:b/>
          <w:i w:val="0"/>
          <w:sz w:val="28"/>
        </w:rPr>
        <w:t>ВЫСШЕГО ОБРАЗОВАНИЯ</w:t>
      </w:r>
    </w:p>
    <w:p>
      <w:pPr>
        <w:keepNext w:val="0"/>
        <w:spacing w:line="360" w:lineRule="auto" w:before="0" w:after="240"/>
        <w:ind w:firstLine="0"/>
        <w:jc w:val="center"/>
      </w:pPr>
      <w:r>
        <w:rPr>
          <w:rFonts w:ascii="Times New Roman" w:hAnsi="Times New Roman" w:cs="Times New Roman" w:eastAsia="Times New Roman"/>
          <w:b/>
          <w:i w:val="0"/>
          <w:sz w:val="28"/>
        </w:rPr>
        <w:t>«МОСКОВСКИЙ ФИНАНСОВО-ЮРИДИЧЕСКИЙ УНИВЕРСИТЕТ МФЮА»</w:t>
      </w:r>
    </w:p>
    <w:p>
      <w:pPr>
        <w:keepNext w:val="0"/>
        <w:spacing w:line="360" w:lineRule="auto" w:before="0" w:after="480"/>
        <w:ind w:firstLine="0"/>
        <w:jc w:val="center"/>
      </w:pPr>
      <w:r>
        <w:rPr>
          <w:rFonts w:ascii="Times New Roman" w:hAnsi="Times New Roman" w:cs="Times New Roman" w:eastAsia="Times New Roman"/>
          <w:b w:val="0"/>
          <w:i w:val="0"/>
          <w:sz w:val="28"/>
        </w:rPr>
        <w:t>Кафедра менеджмента</w:t>
      </w:r>
    </w:p>
    <w:p>
      <w:pPr>
        <w:keepNext w:val="0"/>
        <w:spacing w:line="360" w:lineRule="auto" w:before="0" w:after="720"/>
        <w:ind w:firstLine="0"/>
        <w:jc w:val="center"/>
      </w:pPr>
      <w:r>
        <w:rPr>
          <w:rFonts w:ascii="Times New Roman" w:hAnsi="Times New Roman" w:cs="Times New Roman" w:eastAsia="Times New Roman"/>
          <w:b w:val="0"/>
          <w:i w:val="0"/>
          <w:sz w:val="28"/>
        </w:rPr>
        <w:t>Специальность 38.02.04 Коммерция (по отраслям)</w:t>
      </w:r>
    </w:p>
    <w:p>
      <w:pPr>
        <w:keepNext w:val="0"/>
        <w:spacing w:line="360" w:lineRule="auto" w:before="0" w:after="0"/>
        <w:ind w:firstLine="0"/>
        <w:jc w:val="center"/>
      </w:pPr>
      <w:r>
        <w:rPr>
          <w:rFonts w:ascii="Times New Roman" w:hAnsi="Times New Roman" w:cs="Times New Roman" w:eastAsia="Times New Roman"/>
          <w:b/>
          <w:i w:val="0"/>
          <w:sz w:val="28"/>
        </w:rPr>
        <w:t>ВЫПУСКНАЯ КВАЛИФИКАЦИОННАЯ РАБОТА</w:t>
      </w:r>
    </w:p>
    <w:p>
      <w:pPr>
        <w:keepNext w:val="0"/>
        <w:spacing w:line="360" w:lineRule="auto" w:before="0" w:after="480"/>
        <w:ind w:firstLine="0"/>
        <w:jc w:val="center"/>
      </w:pPr>
      <w:r>
        <w:rPr>
          <w:rFonts w:ascii="Times New Roman" w:hAnsi="Times New Roman" w:cs="Times New Roman" w:eastAsia="Times New Roman"/>
          <w:b w:val="0"/>
          <w:i w:val="0"/>
          <w:sz w:val="28"/>
        </w:rPr>
        <w:t>(дипломная работа)</w:t>
      </w:r>
    </w:p>
    <w:p>
      <w:pPr>
        <w:keepNext w:val="0"/>
        <w:spacing w:line="360" w:lineRule="auto" w:before="0" w:after="0"/>
        <w:ind w:firstLine="0"/>
        <w:jc w:val="center"/>
      </w:pPr>
      <w:r>
        <w:rPr>
          <w:rFonts w:ascii="Times New Roman" w:hAnsi="Times New Roman" w:cs="Times New Roman" w:eastAsia="Times New Roman"/>
          <w:b w:val="0"/>
          <w:i w:val="0"/>
          <w:sz w:val="28"/>
        </w:rPr>
        <w:t>на тему:</w:t>
      </w:r>
    </w:p>
    <w:p>
      <w:pPr>
        <w:keepNext w:val="0"/>
        <w:spacing w:line="360" w:lineRule="auto" w:before="0" w:after="960"/>
        <w:ind w:firstLine="0"/>
        <w:jc w:val="center"/>
      </w:pPr>
      <w:r>
        <w:rPr>
          <w:rFonts w:ascii="Times New Roman" w:hAnsi="Times New Roman" w:cs="Times New Roman" w:eastAsia="Times New Roman"/>
          <w:b/>
          <w:i w:val="0"/>
          <w:sz w:val="28"/>
        </w:rPr>
        <w:t>«Разработка бизнес-плана по производству товара (на материалах ООО „КУПИШУЗ“)»</w:t>
      </w:r>
    </w:p>
    <w:p>
      <w:pPr>
        <w:keepNext w:val="0"/>
        <w:spacing w:line="360" w:lineRule="auto" w:before="0" w:after="0"/>
        <w:ind w:firstLine="0"/>
        <w:jc w:val="left"/>
      </w:pPr>
      <w:r>
        <w:rPr>
          <w:rFonts w:ascii="Times New Roman" w:hAnsi="Times New Roman" w:cs="Times New Roman" w:eastAsia="Times New Roman"/>
          <w:b w:val="0"/>
          <w:i w:val="0"/>
          <w:sz w:val="28"/>
        </w:rPr>
        <w:t>Выполнил(а) обучающийся(аяся) ___ курса</w:t>
      </w:r>
    </w:p>
    <w:p>
      <w:pPr>
        <w:keepNext w:val="0"/>
        <w:spacing w:line="360" w:lineRule="auto" w:before="0" w:after="120"/>
        <w:ind w:firstLine="0"/>
        <w:jc w:val="left"/>
      </w:pPr>
      <w:r>
        <w:rPr>
          <w:rFonts w:ascii="Times New Roman" w:hAnsi="Times New Roman" w:cs="Times New Roman" w:eastAsia="Times New Roman"/>
          <w:b w:val="0"/>
          <w:i w:val="0"/>
          <w:sz w:val="28"/>
        </w:rPr>
        <w:t>_________________________________________ (Ф. И. О.)</w:t>
      </w:r>
    </w:p>
    <w:p>
      <w:pPr>
        <w:keepNext w:val="0"/>
        <w:spacing w:line="360" w:lineRule="auto" w:before="0" w:after="360"/>
        <w:ind w:firstLine="0"/>
        <w:jc w:val="left"/>
      </w:pPr>
      <w:r>
        <w:rPr>
          <w:rFonts w:ascii="Times New Roman" w:hAnsi="Times New Roman" w:cs="Times New Roman" w:eastAsia="Times New Roman"/>
          <w:b w:val="0"/>
          <w:i w:val="0"/>
          <w:sz w:val="28"/>
        </w:rPr>
        <w:t>Подпись _____________</w:t>
      </w:r>
    </w:p>
    <w:p>
      <w:pPr>
        <w:keepNext w:val="0"/>
        <w:spacing w:line="360" w:lineRule="auto" w:before="0" w:after="0"/>
        <w:ind w:firstLine="0"/>
        <w:jc w:val="left"/>
      </w:pPr>
      <w:r>
        <w:rPr>
          <w:rFonts w:ascii="Times New Roman" w:hAnsi="Times New Roman" w:cs="Times New Roman" w:eastAsia="Times New Roman"/>
          <w:b w:val="0"/>
          <w:i w:val="0"/>
          <w:sz w:val="28"/>
        </w:rPr>
        <w:t>Научный руководитель</w:t>
      </w:r>
    </w:p>
    <w:p>
      <w:pPr>
        <w:keepNext w:val="0"/>
        <w:spacing w:line="360" w:lineRule="auto" w:before="0" w:after="120"/>
        <w:ind w:firstLine="0"/>
        <w:jc w:val="left"/>
      </w:pPr>
      <w:r>
        <w:rPr>
          <w:rFonts w:ascii="Times New Roman" w:hAnsi="Times New Roman" w:cs="Times New Roman" w:eastAsia="Times New Roman"/>
          <w:b w:val="0"/>
          <w:i w:val="0"/>
          <w:sz w:val="28"/>
        </w:rPr>
        <w:t>_________________________________________ (Ф. И. О., должность, учёная степень)</w:t>
      </w:r>
    </w:p>
    <w:p>
      <w:pPr>
        <w:keepNext w:val="0"/>
        <w:spacing w:line="360" w:lineRule="auto" w:before="0" w:after="360"/>
        <w:ind w:firstLine="0"/>
        <w:jc w:val="left"/>
      </w:pPr>
      <w:r>
        <w:rPr>
          <w:rFonts w:ascii="Times New Roman" w:hAnsi="Times New Roman" w:cs="Times New Roman" w:eastAsia="Times New Roman"/>
          <w:b w:val="0"/>
          <w:i w:val="0"/>
          <w:sz w:val="28"/>
        </w:rPr>
        <w:t>Подпись _____________</w:t>
      </w:r>
    </w:p>
    <w:p>
      <w:pPr>
        <w:keepNext w:val="0"/>
        <w:spacing w:line="360" w:lineRule="auto" w:before="0" w:after="0"/>
        <w:ind w:firstLine="0"/>
        <w:jc w:val="left"/>
      </w:pPr>
      <w:r>
        <w:rPr>
          <w:rFonts w:ascii="Times New Roman" w:hAnsi="Times New Roman" w:cs="Times New Roman" w:eastAsia="Times New Roman"/>
          <w:b w:val="0"/>
          <w:i w:val="0"/>
          <w:sz w:val="28"/>
        </w:rPr>
        <w:t>Дата защиты «___» ________________ 20___ г.</w:t>
      </w:r>
    </w:p>
    <w:p>
      <w:pPr>
        <w:keepNext w:val="0"/>
        <w:spacing w:line="360" w:lineRule="auto" w:before="0" w:after="480"/>
        <w:ind w:firstLine="0"/>
        <w:jc w:val="left"/>
      </w:pPr>
      <w:r>
        <w:rPr>
          <w:rFonts w:ascii="Times New Roman" w:hAnsi="Times New Roman" w:cs="Times New Roman" w:eastAsia="Times New Roman"/>
          <w:b w:val="0"/>
          <w:i w:val="0"/>
          <w:sz w:val="28"/>
        </w:rPr>
        <w:t>Оценка «_____________»</w:t>
      </w:r>
    </w:p>
    <w:p>
      <w:pPr>
        <w:keepNext w:val="0"/>
        <w:spacing w:line="360" w:lineRule="auto" w:before="0" w:after="0"/>
        <w:ind w:firstLine="0"/>
        <w:jc w:val="center"/>
      </w:pPr>
      <w:r>
        <w:rPr>
          <w:rFonts w:ascii="Times New Roman" w:hAnsi="Times New Roman" w:cs="Times New Roman" w:eastAsia="Times New Roman"/>
          <w:b/>
          <w:i w:val="0"/>
          <w:sz w:val="28"/>
        </w:rPr>
        <w:t>Москва 2026</w:t>
      </w:r>
    </w:p>
    <w:p>
      <w:r>
        <w:rPr>
          <w:rFonts w:ascii="Times New Roman" w:hAnsi="Times New Roman" w:cs="Times New Roman" w:eastAsia="Times New Roman"/>
          <w:b w:val="0"/>
          <w:i w:val="0"/>
          <w:sz w:val="28"/>
        </w:rPr>
        <w:br w:type="page"/>
      </w:r>
    </w:p>
    <w:p>
      <w:pPr>
        <w:keepNext w:val="0"/>
        <w:spacing w:line="360" w:lineRule="auto" w:before="720" w:after="0"/>
        <w:ind w:firstLine="0"/>
        <w:jc w:val="center"/>
      </w:pPr>
      <w:r>
        <w:rPr>
          <w:rFonts w:ascii="Times New Roman" w:hAnsi="Times New Roman" w:cs="Times New Roman" w:eastAsia="Times New Roman"/>
          <w:b/>
          <w:i w:val="0"/>
          <w:sz w:val="28"/>
        </w:rPr>
        <w:t>ЗАДАНИЕ НА ДИПЛОМНУЮ РАБОТУ</w:t>
      </w:r>
    </w:p>
    <w:p>
      <w:pPr>
        <w:keepNext w:val="0"/>
        <w:spacing w:line="360" w:lineRule="auto" w:before="0" w:after="0"/>
        <w:ind w:firstLine="0"/>
        <w:jc w:val="center"/>
      </w:pPr>
      <w:r>
        <w:rPr>
          <w:rFonts w:ascii="Times New Roman" w:hAnsi="Times New Roman" w:cs="Times New Roman" w:eastAsia="Times New Roman"/>
          <w:b w:val="0"/>
          <w:i/>
          <w:sz w:val="28"/>
        </w:rPr>
        <w:t>(лист резервируется для распечатки и подшивки в работу)</w:t>
      </w:r>
    </w:p>
    <w:p>
      <w:r>
        <w:rPr>
          <w:rFonts w:ascii="Times New Roman" w:hAnsi="Times New Roman" w:cs="Times New Roman" w:eastAsia="Times New Roman"/>
          <w:b w:val="0"/>
          <w:i w:val="0"/>
          <w:sz w:val="28"/>
        </w:rPr>
        <w:br w:type="page"/>
      </w:r>
    </w:p>
    <w:p>
      <w:pPr>
        <w:keepNext w:val="0"/>
        <w:spacing w:line="360" w:lineRule="auto" w:before="720" w:after="0"/>
        <w:ind w:firstLine="0"/>
        <w:jc w:val="center"/>
      </w:pPr>
      <w:r>
        <w:rPr>
          <w:rFonts w:ascii="Times New Roman" w:hAnsi="Times New Roman" w:cs="Times New Roman" w:eastAsia="Times New Roman"/>
          <w:b/>
          <w:i w:val="0"/>
          <w:sz w:val="28"/>
        </w:rPr>
        <w:t>ГРАФИК ВЫПОЛНЕНИЯ ДИПЛОМНОЙ РАБОТЫ</w:t>
      </w:r>
    </w:p>
    <w:p>
      <w:pPr>
        <w:keepNext w:val="0"/>
        <w:spacing w:line="360" w:lineRule="auto" w:before="0" w:after="0"/>
        <w:ind w:firstLine="0"/>
        <w:jc w:val="center"/>
      </w:pPr>
      <w:r>
        <w:rPr>
          <w:rFonts w:ascii="Times New Roman" w:hAnsi="Times New Roman" w:cs="Times New Roman" w:eastAsia="Times New Roman"/>
          <w:b w:val="0"/>
          <w:i/>
          <w:sz w:val="28"/>
        </w:rPr>
        <w:t>(лист резервируется для распечатки и подшивки в работу)</w:t>
      </w:r>
    </w:p>
    <w:p>
      <w:r>
        <w:rPr>
          <w:rFonts w:ascii="Times New Roman" w:hAnsi="Times New Roman" w:cs="Times New Roman" w:eastAsia="Times New Roman"/>
          <w:b w:val="0"/>
          <w:i w:val="0"/>
          <w:sz w:val="28"/>
        </w:rPr>
        <w:br w:type="page"/>
      </w:r>
    </w:p>
    <w:p>
      <w:pPr>
        <w:keepNext w:val="0"/>
        <w:spacing w:line="360" w:lineRule="auto" w:before="720" w:after="0"/>
        <w:ind w:firstLine="0"/>
        <w:jc w:val="center"/>
      </w:pPr>
      <w:r>
        <w:rPr>
          <w:rFonts w:ascii="Times New Roman" w:hAnsi="Times New Roman" w:cs="Times New Roman" w:eastAsia="Times New Roman"/>
          <w:b/>
          <w:i w:val="0"/>
          <w:sz w:val="28"/>
        </w:rPr>
        <w:t>ОТЗЫВ НАУЧНОГО РУКОВОДИТЕЛЯ</w:t>
      </w:r>
    </w:p>
    <w:p>
      <w:pPr>
        <w:keepNext w:val="0"/>
        <w:spacing w:line="360" w:lineRule="auto" w:before="0" w:after="0"/>
        <w:ind w:firstLine="0"/>
        <w:jc w:val="center"/>
      </w:pPr>
      <w:r>
        <w:rPr>
          <w:rFonts w:ascii="Times New Roman" w:hAnsi="Times New Roman" w:cs="Times New Roman" w:eastAsia="Times New Roman"/>
          <w:b w:val="0"/>
          <w:i/>
          <w:sz w:val="28"/>
        </w:rPr>
        <w:t>(лист резервируется для распечатки и подшивки в работу)</w:t>
      </w:r>
    </w:p>
    <w:p>
      <w:r>
        <w:rPr>
          <w:rFonts w:ascii="Times New Roman" w:hAnsi="Times New Roman" w:cs="Times New Roman" w:eastAsia="Times New Roman"/>
          <w:b w:val="0"/>
          <w:i w:val="0"/>
          <w:sz w:val="28"/>
        </w:rPr>
        <w:br w:type="page"/>
      </w:r>
    </w:p>
    <w:p>
      <w:pPr>
        <w:keepNext w:val="0"/>
        <w:spacing w:line="360" w:lineRule="auto" w:before="720" w:after="0"/>
        <w:ind w:firstLine="0"/>
        <w:jc w:val="center"/>
      </w:pPr>
      <w:r>
        <w:rPr>
          <w:rFonts w:ascii="Times New Roman" w:hAnsi="Times New Roman" w:cs="Times New Roman" w:eastAsia="Times New Roman"/>
          <w:b/>
          <w:i w:val="0"/>
          <w:sz w:val="28"/>
        </w:rPr>
        <w:t>СПРАВКА О РЕЗУЛЬТАТАХ ПРОВЕРКИ В СИСТЕМЕ «АНТИПЛАГИАТ»</w:t>
      </w:r>
    </w:p>
    <w:p>
      <w:pPr>
        <w:keepNext w:val="0"/>
        <w:spacing w:line="360" w:lineRule="auto" w:before="0" w:after="0"/>
        <w:ind w:firstLine="0"/>
        <w:jc w:val="center"/>
      </w:pPr>
      <w:r>
        <w:rPr>
          <w:rFonts w:ascii="Times New Roman" w:hAnsi="Times New Roman" w:cs="Times New Roman" w:eastAsia="Times New Roman"/>
          <w:b w:val="0"/>
          <w:i/>
          <w:sz w:val="28"/>
        </w:rPr>
        <w:t>(лист резервируется для распечатки и подшивки в работу)</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ОГЛАВЛЕНИЕ</w:t>
      </w:r>
    </w:p>
    <w:p>
      <w:r>
        <w:rPr>
          <w:rFonts w:ascii="Times New Roman" w:hAnsi="Times New Roman" w:cs="Times New Roman" w:eastAsia="Times New Roman"/>
          <w:b w:val="0"/>
          <w:i w:val="0"/>
          <w:sz w:val="28"/>
        </w:rPr>
        <w:fldChar w:fldCharType="begin"/>
        <w:instrText xml:space="preserve">TOC \o "1-3" \h \z \u</w:instrText>
        <w:fldChar w:fldCharType="separate"/>
        <w:t>Оглавление будет обновлено автоматически в Microsoft Word (Ctrl+A → F9).</w:t>
        <w:fldChar w:fldCharType="end"/>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ВВЕДЕНИЕ</w:t>
      </w:r>
    </w:p>
    <w:p>
      <w:pPr>
        <w:keepNext w:val="0"/>
        <w:spacing w:line="360" w:lineRule="auto" w:before="0" w:after="0"/>
        <w:ind w:firstLine="709"/>
        <w:jc w:val="both"/>
      </w:pPr>
      <w:r>
        <w:rPr>
          <w:rFonts w:ascii="Times New Roman" w:hAnsi="Times New Roman" w:cs="Times New Roman" w:eastAsia="Times New Roman"/>
          <w:b w:val="0"/>
          <w:i w:val="0"/>
          <w:sz w:val="28"/>
        </w:rPr>
        <w:t>Современная экономика Российской Федерации переживает этап глубокой структурной перестройки, в которой импортозамещение, развитие отечественной производственной базы и формирование собственных торговых марок крупных розничных операторов превращаются из самостоятельного направления в системное условие сохранения конкурентоспособности. Уход с российского рынка ряда иностранных торговых марок в 2022–2024 годах, повышенная ключевая ставка Банка России и заметные колебания валютного курса обострили проблему долгосрочной устойчивости бизнес-моделей, основанных преимущественно на ввозе готовой продукции из-за рубежа. В этих условиях разработка экономически обоснованного бизнес-плана по запуску собственного производства товара выступает действенным инструментом снижения зависимости от внешних поставщиков, повышения маржинальности и формирования дополнительной потребительской ценности.</w:t>
      </w:r>
    </w:p>
    <w:p>
      <w:pPr>
        <w:keepNext w:val="0"/>
        <w:spacing w:line="360" w:lineRule="auto" w:before="0" w:after="0"/>
        <w:ind w:firstLine="709"/>
        <w:jc w:val="both"/>
      </w:pPr>
      <w:r>
        <w:rPr>
          <w:rFonts w:ascii="Times New Roman" w:hAnsi="Times New Roman" w:cs="Times New Roman" w:eastAsia="Times New Roman"/>
          <w:b w:val="0"/>
          <w:i w:val="0"/>
          <w:sz w:val="28"/>
        </w:rPr>
        <w:t>Актуальность темы исследования обусловлена тем, что значительная часть крупных розничных компаний, работающих в сегменте одежды и обуви, исторически выстраивала логистику и закупки на основе передачи производственных функций сторонним организациям. Изменение макроэкономической конъюнктуры, переориентация поставщиков на азиатские рынки, удорожание трансграничных платежей и рост таможенных издержек обусловливают целесообразность частичного переноса производственных операций в Российскую Федерацию или в государства – участники Евразийского экономического союза. Одновременно развитие сегмента электронной торговли расширяет возможности по сбыту собственных торговых марок без привлечения сторонних оптовых посредников. Совокупность указанных факторов формирует устойчивый спрос на проектно обоснованные бизнес-планы запуска собственных производственных линий в составе крупных торговых организаций.</w:t>
      </w:r>
    </w:p>
    <w:p>
      <w:pPr>
        <w:keepNext w:val="0"/>
        <w:spacing w:line="360" w:lineRule="auto" w:before="0" w:after="0"/>
        <w:ind w:firstLine="709"/>
        <w:jc w:val="both"/>
      </w:pPr>
      <w:r>
        <w:rPr>
          <w:rFonts w:ascii="Times New Roman" w:hAnsi="Times New Roman" w:cs="Times New Roman" w:eastAsia="Times New Roman"/>
          <w:b w:val="0"/>
          <w:i w:val="0"/>
          <w:sz w:val="28"/>
        </w:rPr>
        <w:t>Степень научной разработанности темы достаточно высока. Теоретические основы бизнес-планирования заложены в трудах И. Ансоффа, Г. Минцберга, М. Портера, П. Друкера, Ф. Котлера, а также отечественных учёных В. М. Попова, С. И. Ляпунова, В. П. Грузинова, В. А. Горемыкина, А. Б. Идрисова, Г. Б. Клейнера, В. В. Ковалева, Е. С. Стояновой, А. Д. Шеремета. Прикладные аспекты разработки бизнес-планов производственных проектов исследованы в работах И. И. Мазура, В. Д. Шапиро, Б. А. Колтынюка. Несмотря на обширную теоретическую базу, проблема комплексного бизнес-планирования при запуске собственного производства внутри сложившейся торговой структуры остаётся изученной фрагментарно, что подтверждает целесообразность настоящего исследования.</w:t>
      </w:r>
    </w:p>
    <w:p>
      <w:pPr>
        <w:keepNext w:val="0"/>
        <w:spacing w:line="360" w:lineRule="auto" w:before="0" w:after="0"/>
        <w:ind w:firstLine="709"/>
        <w:jc w:val="both"/>
      </w:pPr>
      <w:r>
        <w:rPr>
          <w:rFonts w:ascii="Times New Roman" w:hAnsi="Times New Roman" w:cs="Times New Roman" w:eastAsia="Times New Roman"/>
          <w:b w:val="0"/>
          <w:i w:val="0"/>
          <w:sz w:val="28"/>
        </w:rPr>
        <w:t>Объектом исследования выступает финансово-хозяйственная деятельность общества с ограниченной ответственностью «КУПИШУЗ» (идентификационный номер налогоплательщика 7705935687, город Москва). Предметом исследования является совокупность теоретических, методических и практических положений, связанных с разработкой бизнес-плана по производству товара в условиях действующего торгового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Целью выпускной квалификационной работы является разработка экономически обоснованного бизнес-плана по производству собственной торговой марки обуви для ООО «КУПИШУЗ» и оценка целесообразности его реализации на основе общепринятых показателей эффективности инвестиционных проектов.</w:t>
      </w:r>
    </w:p>
    <w:p>
      <w:pPr>
        <w:keepNext w:val="0"/>
        <w:spacing w:line="360" w:lineRule="auto"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 раскрыть теоретическую сущность, функции, виды и принципы бизнес-планирования на предприятии; провести сравнительный анализ ведущих методических стандартов разработки бизнес-плана (методика Организации Объединённых Наций по промышленному развитию, методика Европейского банка реконструкции и развития, методики крупных международных консультационных компаний, Методические рекомендации Министерства экономики Российской Федерации); изучить и систематизировать зарубежный опыт бизнес-планирования при запуске собственного производства торговых марок в сегменте модной одежды и обуви; дать организационно-экономическую характеристику ООО «КУПИШУЗ» и проанализировать его финансовые результаты за 2023–2025 годы; провести стратегический анализ внешней и внутренней среды предприятия; разработать комплекс мероприятий по совершенствованию системы бизнес-планирования и запуску собственной торговой марки обуви, включающий маркетинговый, производственный, организационный и финансовый блоки; рассчитать показатели коммерческой эффективности предложенных мероприятий (чистый дисконтированный доход, внутреннюю норму доходности, индекс рентабельности инвестиций, дисконтированный срок окупаемости) и провести анализ рисков их реализации.</w:t>
      </w:r>
    </w:p>
    <w:p>
      <w:pPr>
        <w:keepNext w:val="0"/>
        <w:spacing w:line="360" w:lineRule="auto" w:before="0" w:after="0"/>
        <w:ind w:firstLine="709"/>
        <w:jc w:val="both"/>
      </w:pPr>
      <w:r>
        <w:rPr>
          <w:rFonts w:ascii="Times New Roman" w:hAnsi="Times New Roman" w:cs="Times New Roman" w:eastAsia="Times New Roman"/>
          <w:b w:val="0"/>
          <w:i w:val="0"/>
          <w:sz w:val="28"/>
        </w:rPr>
        <w:t>В качестве рабочей гипотезы исследования принимается положение о том, что запуск ограниченной по объёму производственной линии собственной торговой марки обуви в составе действующей торговой экосистемы ООО «КУПИШУЗ» обеспечивает прирост маржинальной прибыли по выделяемому ассортименту не менее чем на восемь процентных пунктов относительно базового уровня закупочной маржи и формирует положительный чистый дисконтированный доход на пятилетнем горизонте планирования при ставке дисконтирования, соответствующей средневзвешенной стоимости капитала предприятия. Указанная гипотеза проверяется во второй и третьей главах работы на фактическом материале базового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Методологическую основу исследования составляют общенаучные методы (анализ, синтез, индукция, дедукция, аналогия), а также специальные методы экономических исследований: горизонтальный и вертикальный анализ бухгалтерской отчётности, коэффициентный анализ, стратегический анализ внутренней и внешней среды, методы дисконтирования денежных потоков, сценарный анализ рисков и метод оценки чувствительности.</w:t>
      </w:r>
    </w:p>
    <w:p>
      <w:pPr>
        <w:keepNext w:val="0"/>
        <w:spacing w:line="360" w:lineRule="auto" w:before="0" w:after="0"/>
        <w:ind w:firstLine="709"/>
        <w:jc w:val="both"/>
      </w:pPr>
      <w:r>
        <w:rPr>
          <w:rFonts w:ascii="Times New Roman" w:hAnsi="Times New Roman" w:cs="Times New Roman" w:eastAsia="Times New Roman"/>
          <w:b w:val="0"/>
          <w:i w:val="0"/>
          <w:sz w:val="28"/>
        </w:rPr>
        <w:t>Информационную базу исследования составляют нормативные правовые акты Российской Федерации; данные Федеральной службы государственной статистики; отраслевые обзоры рынка обуви, опубликованные отечественными аналитическими агентствами; публичная бухгалтерская (финансовая) отчётность ООО «КУПИШУЗ» по формам Общероссийского классификатора управленческой документации 0710001 и 0710002 за 2023–2025 годы; сведения Единого государственного реестра юридических лиц, размещённые на портале Федеральной налоговой службы; материалы периодической печати и научных изданий.</w:t>
      </w:r>
    </w:p>
    <w:p>
      <w:pPr>
        <w:keepNext w:val="0"/>
        <w:spacing w:line="360" w:lineRule="auto" w:before="0" w:after="0"/>
        <w:ind w:firstLine="709"/>
        <w:jc w:val="both"/>
      </w:pPr>
      <w:r>
        <w:rPr>
          <w:rFonts w:ascii="Times New Roman" w:hAnsi="Times New Roman" w:cs="Times New Roman" w:eastAsia="Times New Roman"/>
          <w:b w:val="0"/>
          <w:i w:val="0"/>
          <w:sz w:val="28"/>
        </w:rPr>
        <w:t>Теоретическая значимость работы заключается в систематизации подходов к бизнес-планированию производственных проектов, реализуемых в составе действующих торговых структур. Практическая значимость состоит в том, что разработанный комплекс мероприятий может быть использован руководством ООО «КУПИШУЗ» при принятии управленческого решения о запуске собственного производства, а также адаптирован для применения в иных розничных компаниях со сходной бизнес-моделью.</w:t>
      </w:r>
    </w:p>
    <w:p>
      <w:pPr>
        <w:keepNext w:val="0"/>
        <w:spacing w:line="360" w:lineRule="auto" w:before="0" w:after="0"/>
        <w:ind w:firstLine="709"/>
        <w:jc w:val="both"/>
      </w:pPr>
      <w:r>
        <w:rPr>
          <w:rFonts w:ascii="Times New Roman" w:hAnsi="Times New Roman" w:cs="Times New Roman" w:eastAsia="Times New Roman"/>
          <w:b w:val="0"/>
          <w:i w:val="0"/>
          <w:sz w:val="28"/>
        </w:rPr>
        <w:t>Структура работы. Выпускная квалификационная работа состоит из введения, трёх глав, заключения, списка использованных источников и приложений. Первая глава посвящена теоретическим и методическим основам разработки бизнес-плана, в том числе зарубежному опыту бизнес-планирования при запуске собственного производства торговых марок в сегменте модной одежды и обуви. Вторая глава содержит организационно-экономическую характеристику и комплексный анализ финансово-хозяйственной деятельности ООО «КУПИШУЗ». Третья глава содержит два параграфа: в первом параграфе сформулированы мероприятия по совершенствованию бизнес-планирования и запуску собственной торговой марки обуви; во втором параграфе выполнена оценка экономической эффективности и анализ рисков предложенных мероприятий. Общий объём работы составляет 82 страницы машинописного текста, содержит 18 таблиц, 9 рисунков, 4 приложения. Список использованных источников включает 52 наименования.</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ГЛАВА 1 ТЕОРЕТИЧЕСКИЕ И МЕТОДИЧЕСКИЕ ОСНОВЫ РАЗРАБОТКИ БИЗНЕС-ПЛАНА ПО ПРОИЗВОДСТВУ ТОВАРА</w:t>
      </w:r>
    </w:p>
    <w:p>
      <w:pPr>
        <w:keepNext/>
        <w:spacing w:line="360" w:lineRule="auto" w:before="240" w:after="120"/>
        <w:ind w:firstLine="709"/>
        <w:jc w:val="left"/>
      </w:pPr>
      <w:r>
        <w:rPr>
          <w:rFonts w:ascii="Times New Roman" w:hAnsi="Times New Roman" w:cs="Times New Roman" w:eastAsia="Times New Roman"/>
          <w:b/>
          <w:i w:val="0"/>
          <w:sz w:val="28"/>
        </w:rPr>
        <w:t>1.1 Сущность, функции и виды бизнес-планирования на предприятии</w:t>
      </w:r>
    </w:p>
    <w:p>
      <w:pPr>
        <w:keepNext w:val="0"/>
        <w:spacing w:line="360" w:lineRule="auto" w:before="0" w:after="0"/>
        <w:ind w:firstLine="709"/>
        <w:jc w:val="both"/>
      </w:pPr>
      <w:r>
        <w:rPr>
          <w:rFonts w:ascii="Times New Roman" w:hAnsi="Times New Roman" w:cs="Times New Roman" w:eastAsia="Times New Roman"/>
          <w:b w:val="0"/>
          <w:i w:val="0"/>
          <w:sz w:val="28"/>
        </w:rPr>
        <w:t>Бизнес-планирование выступает важнейшей функцией управления, охватывающей все стороны хозяйственной деятельности предприятия и связывающей стратегические, тактические и операционные решения в единый документ с внутренней логикой и количественной определённостью. В современной экономической литературе бизнес-план рассматривается как документ, дающий развёрнутое технико-экономическое обоснование выбранного направления развития и содержащий комплексную оценку коммерческой целесообразности проекта на заданном временном горизонте.</w:t>
      </w:r>
    </w:p>
    <w:p>
      <w:pPr>
        <w:keepNext w:val="0"/>
        <w:spacing w:line="360" w:lineRule="auto" w:before="0" w:after="0"/>
        <w:ind w:firstLine="709"/>
        <w:jc w:val="both"/>
      </w:pPr>
      <w:r>
        <w:rPr>
          <w:rFonts w:ascii="Times New Roman" w:hAnsi="Times New Roman" w:cs="Times New Roman" w:eastAsia="Times New Roman"/>
          <w:b w:val="0"/>
          <w:i w:val="0"/>
          <w:sz w:val="28"/>
        </w:rPr>
        <w:t>В трудах В. М. Попова, С. И. Ляпунова и И. А. Зверева бизнес-план определяется как основной документ, позволяющий детально изложить, обосновать и оценить возможности инвестиционного проекта, предусматривающего создание нового или расширение действующего производства. В. А. Горемыкин трактует бизнес-план как программу деятельности предприятия, в которой раскрыто содержание основных хозяйственных операций на ближайшую и отдалённую перспективу с количественным определением требуемых ресурсов и ожидаемых результатов. Близкое по содержанию определение приводит и Б. А. Колтынюк: бизнес-план рассматривается как формализованная модель будущего хозяйственного процесса, описывающая стратегию достижения поставленных целей.</w:t>
      </w:r>
    </w:p>
    <w:p>
      <w:pPr>
        <w:keepNext w:val="0"/>
        <w:spacing w:line="360" w:lineRule="auto" w:before="0" w:after="0"/>
        <w:ind w:firstLine="709"/>
        <w:jc w:val="both"/>
      </w:pPr>
      <w:r>
        <w:rPr>
          <w:rFonts w:ascii="Times New Roman" w:hAnsi="Times New Roman" w:cs="Times New Roman" w:eastAsia="Times New Roman"/>
          <w:b w:val="0"/>
          <w:i w:val="0"/>
          <w:sz w:val="28"/>
        </w:rPr>
        <w:t>Обобщение приведённых дефиниций позволяет сформулировать следующее рабочее определение: бизнес-план представляет собой системно структурированный документ, содержащий обоснование экономической, технической и организационной целесообразности конкретного хозяйственного проекта, описание совокупности мероприятий по его реализации и количественную оценку ожидаемых результатов в денежном и натуральном выражении.</w:t>
      </w:r>
    </w:p>
    <w:p>
      <w:pPr>
        <w:keepNext w:val="0"/>
        <w:spacing w:line="360" w:lineRule="auto" w:before="0" w:after="0"/>
        <w:ind w:firstLine="709"/>
        <w:jc w:val="both"/>
      </w:pPr>
      <w:r>
        <w:rPr>
          <w:rFonts w:ascii="Times New Roman" w:hAnsi="Times New Roman" w:cs="Times New Roman" w:eastAsia="Times New Roman"/>
          <w:b w:val="0"/>
          <w:i w:val="0"/>
          <w:sz w:val="28"/>
        </w:rPr>
        <w:t>Теоретическая сущность бизнес-планирования раскрывается через совокупность функций, которые выполняет соответствующий документ в управлении предприятием. К числу основных функций бизнес-плана относятся стратегическая, координационная, контрольная, коммуникационная и прогнозно-аналитическая функции, охарактеризованные ниже.</w:t>
      </w:r>
    </w:p>
    <w:p>
      <w:pPr>
        <w:keepNext w:val="0"/>
        <w:spacing w:line="360" w:lineRule="auto" w:before="0" w:after="0"/>
        <w:ind w:firstLine="709"/>
        <w:jc w:val="both"/>
      </w:pPr>
      <w:r>
        <w:rPr>
          <w:rFonts w:ascii="Times New Roman" w:hAnsi="Times New Roman" w:cs="Times New Roman" w:eastAsia="Times New Roman"/>
          <w:b w:val="0"/>
          <w:i w:val="0"/>
          <w:sz w:val="28"/>
        </w:rPr>
        <w:t>Стратегическая функция обеспечивает увязку стратегических целей предприятия с конкретными хозяйственными решениями, делает стратегию измеримой и применимой в управленческой практике. Координационная функция согласует действия различных подразделений предприятия — производственного, маркетингового, финансового, логистического — на основе единой системы плановых показателей. Контрольная функция задаёт нормативные значения, относительно которых в дальнейшем оценивается фактическое выполнение плановых параметров и формируются управленческие воздействия. Коммуникационная функция позволяет использовать бизнес-план в качестве основного инструмента обоснования проекта перед внешними заинтересованными сторонами — инвесторами, кредиторами, органами государственной власти, потенциальными партнёрами. Прогнозно-аналитическая функция на основе сценарного моделирования и анализа чувствительности выявляет зоны риска и формирует программу компенсирующих мероприятий.</w:t>
      </w:r>
    </w:p>
    <w:p>
      <w:pPr>
        <w:keepNext w:val="0"/>
        <w:spacing w:line="360" w:lineRule="auto" w:before="0" w:after="0"/>
        <w:ind w:firstLine="709"/>
        <w:jc w:val="both"/>
      </w:pPr>
      <w:r>
        <w:rPr>
          <w:rFonts w:ascii="Times New Roman" w:hAnsi="Times New Roman" w:cs="Times New Roman" w:eastAsia="Times New Roman"/>
          <w:b w:val="0"/>
          <w:i w:val="0"/>
          <w:sz w:val="28"/>
        </w:rPr>
        <w:t>Виды бизнес-планов классифицируются по нескольким признакам. По объекту планирования выделяют бизнес-планы создания нового предприятия, бизнес-планы развития действующего предприятия, бизнес-планы отдельного инвестиционного проекта, бизнес-планы санации (финансового оздоровления) и бизнес-планы выхода из кризисного состояния. По функциональному назначению различают бизнес-планы для внутреннего пользования, инвестиционные бизнес-планы, бизнес-планы для получения банковского кредита и бизнес-планы для получения государственной поддержки. По горизонту планирования принято выделять краткосрочные (до одного года), среднесрочные (от одного до трёх лет) и долгосрочные (свыше трёх лет) бизнес-планы. По степени детализации различают концептуальные бизнес-планы (укрупнённое представление проекта на стадии формирования замысла) и детальные бизнес-планы (подготовка к началу инвестиционной фазы проекта).</w:t>
      </w:r>
    </w:p>
    <w:p>
      <w:pPr>
        <w:keepNext w:val="0"/>
        <w:spacing w:line="360" w:lineRule="auto" w:before="0" w:after="0"/>
        <w:ind w:firstLine="709"/>
        <w:jc w:val="both"/>
      </w:pPr>
      <w:r>
        <w:rPr>
          <w:rFonts w:ascii="Times New Roman" w:hAnsi="Times New Roman" w:cs="Times New Roman" w:eastAsia="Times New Roman"/>
          <w:b w:val="0"/>
          <w:i w:val="0"/>
          <w:sz w:val="28"/>
        </w:rPr>
        <w:t>Применительно к настоящему исследованию рассматривается бизнес-план развития действующего предприятия в части запуска нового производственного направления, имеющий инвестиционный характер, среднесрочный горизонт планирования и высокий уровень детализации. Подобный тип документа предъявляет повышенные требования к качеству производственного, финансового и маркетингового разделов, поскольку решение о выделении инвестиционного бюджета принимается руководством компании на основе количественных критериев эффективности.</w:t>
      </w:r>
    </w:p>
    <w:p>
      <w:pPr>
        <w:keepNext w:val="0"/>
        <w:spacing w:line="360" w:lineRule="auto" w:before="0" w:after="0"/>
        <w:ind w:firstLine="709"/>
        <w:jc w:val="both"/>
      </w:pPr>
      <w:r>
        <w:rPr>
          <w:rFonts w:ascii="Times New Roman" w:hAnsi="Times New Roman" w:cs="Times New Roman" w:eastAsia="Times New Roman"/>
          <w:b w:val="0"/>
          <w:i w:val="0"/>
          <w:sz w:val="28"/>
        </w:rPr>
        <w:t>Принципы бизнес-планирования, систематизированные в работах В. В. Ковалева, А. Д. Шеремета и Е. С. Стояновой, могут быть представлены следующим перечнем: принцип системности — бизнес-план рассматривается как взаимосвязанная совокупность разделов, изменение одного из которых требует пересчёта всех остальных; принцип научной обоснованности — плановые показатели опираются на достоверные исходные данные и общепризнанные методики расчёта; принцип сценарности — рассматривается не менее трёх вариантов развития событий: пессимистический, базовый, оптимистический; принцип гибкости — структура и значения показателей допускают корректировку при изменении внешних условий; принцип непрерывности — бизнес-планирование является постоянно действующим процессом и связан с системой бюджетирования предприятия; принцип проверяемости — все расчёты и допущения зафиксированы в документации проекта и могут быть проверены независимым экспертом.</w:t>
      </w:r>
    </w:p>
    <w:p>
      <w:pPr>
        <w:keepNext w:val="0"/>
        <w:spacing w:line="360" w:lineRule="auto" w:before="0" w:after="0"/>
        <w:ind w:firstLine="709"/>
        <w:jc w:val="both"/>
      </w:pPr>
      <w:r>
        <w:rPr>
          <w:rFonts w:ascii="Times New Roman" w:hAnsi="Times New Roman" w:cs="Times New Roman" w:eastAsia="Times New Roman"/>
          <w:b w:val="0"/>
          <w:i w:val="0"/>
          <w:sz w:val="28"/>
        </w:rPr>
        <w:t>Реализация перечисленных принципов обеспечивает практическую применимость бизнес-плана и его соответствие требованиям внешних пользователей, прежде всего кредитных организаций и потенциальных инвесторов.</w:t>
      </w:r>
    </w:p>
    <w:p>
      <w:pPr>
        <w:keepNext w:val="0"/>
        <w:spacing w:line="360" w:lineRule="auto" w:before="0" w:after="0"/>
        <w:ind w:firstLine="709"/>
        <w:jc w:val="both"/>
      </w:pPr>
      <w:r>
        <w:rPr>
          <w:rFonts w:ascii="Times New Roman" w:hAnsi="Times New Roman" w:cs="Times New Roman" w:eastAsia="Times New Roman"/>
          <w:b w:val="0"/>
          <w:i w:val="0"/>
          <w:sz w:val="28"/>
        </w:rPr>
        <w:t>В системе корпоративного управления бизнес-план занимает промежуточное положение между стратегическим планом развития и системой годового бюджетирования. Стратегический план задаёт долгосрочное видение и ключевые направления развития, бизнес-план переводит выбранное направление в формат конкретного проекта с ограниченным набором ресурсов и сроков, а годовой бюджет распределяет ресурсы внутри текущего календарного периода. Подобная иерархия обеспечивает преемственность планово-управленческих решений и предотвращает разрывы между декларируемой стратегией и фактическим распределением ресурсов.</w:t>
      </w:r>
    </w:p>
    <w:p>
      <w:pPr>
        <w:keepNext w:val="0"/>
        <w:spacing w:line="360" w:lineRule="auto" w:before="0" w:after="0"/>
        <w:ind w:firstLine="709"/>
        <w:jc w:val="both"/>
      </w:pPr>
      <w:r>
        <w:rPr>
          <w:rFonts w:ascii="Times New Roman" w:hAnsi="Times New Roman" w:cs="Times New Roman" w:eastAsia="Times New Roman"/>
          <w:b w:val="0"/>
          <w:i w:val="0"/>
          <w:sz w:val="28"/>
        </w:rPr>
        <w:t>Особое значение приобретает связь бизнес-плана с системой управленческого учёта. Плановые показатели проекта должны быть согласованы со структурой управленческой отчётности предприятия, а методика их расчёта — соответствовать принятой учётной политике. Несоблюдение указанного требования приводит к тому, что фактические данные становятся несопоставимыми с плановыми, и контрольная функция бизнес-плана утрачивает практическое значение.</w:t>
      </w:r>
    </w:p>
    <w:p>
      <w:pPr>
        <w:keepNext w:val="0"/>
        <w:spacing w:line="360" w:lineRule="auto" w:before="0" w:after="0"/>
        <w:ind w:firstLine="709"/>
        <w:jc w:val="both"/>
      </w:pPr>
      <w:r>
        <w:rPr>
          <w:rFonts w:ascii="Times New Roman" w:hAnsi="Times New Roman" w:cs="Times New Roman" w:eastAsia="Times New Roman"/>
          <w:b w:val="0"/>
          <w:i w:val="0"/>
          <w:sz w:val="28"/>
        </w:rPr>
        <w:t>Таким образом, бизнес-планирование представляет собой комплексную управленческую процедуру, охватывающую все ключевые стороны хозяйственной деятельности предприятия. В качестве итогового документа бизнес-план объединяет стратегические ориентиры с операционными решениями и формирует количественную основу для последующего принятия инвестиционного решения.</w:t>
      </w:r>
    </w:p>
    <w:p>
      <w:pPr>
        <w:keepNext/>
        <w:spacing w:line="360" w:lineRule="auto" w:before="240" w:after="120"/>
        <w:ind w:firstLine="709"/>
        <w:jc w:val="left"/>
      </w:pPr>
      <w:r>
        <w:rPr>
          <w:rFonts w:ascii="Times New Roman" w:hAnsi="Times New Roman" w:cs="Times New Roman" w:eastAsia="Times New Roman"/>
          <w:b/>
          <w:i w:val="0"/>
          <w:sz w:val="28"/>
        </w:rPr>
        <w:t>1.2 Методические стандарты разработки бизнес-плана и их сравнительный анализ</w:t>
      </w:r>
    </w:p>
    <w:p>
      <w:pPr>
        <w:keepNext w:val="0"/>
        <w:spacing w:line="360" w:lineRule="auto" w:before="0" w:after="0"/>
        <w:ind w:firstLine="709"/>
        <w:jc w:val="both"/>
      </w:pPr>
      <w:r>
        <w:rPr>
          <w:rFonts w:ascii="Times New Roman" w:hAnsi="Times New Roman" w:cs="Times New Roman" w:eastAsia="Times New Roman"/>
          <w:b w:val="0"/>
          <w:i w:val="0"/>
          <w:sz w:val="28"/>
        </w:rPr>
        <w:t>В международной и российской практике сложился ряд методических стандартов, регламентирующих структуру и содержание бизнес-плана. Наиболее распространёнными являются методика Организации Объединённых Наций по промышленному развитию (далее — методика ОНПР), рекомендации Европейского банка реконструкции и развития (далее — методика ЕБРР), стандарты международных консультационных компаний и Методические рекомендации по оценке эффективности инвестиционных проектов, утверждённые Министерством экономики, Министерством финансов Российской Федерации и Государственным комитетом Российской Федерации по строительной, архитектурной и жилищной политике (третья редакция). Сопоставление стандартов представлено в таблице 1.1.</w:t>
      </w:r>
    </w:p>
    <w:p>
      <w:pPr>
        <w:keepNext/>
        <w:spacing w:line="360" w:lineRule="auto" w:before="120" w:after="0"/>
        <w:ind w:firstLine="0"/>
        <w:jc w:val="left"/>
      </w:pPr>
      <w:r>
        <w:rPr>
          <w:rFonts w:ascii="Times New Roman" w:hAnsi="Times New Roman" w:cs="Times New Roman" w:eastAsia="Times New Roman"/>
          <w:b w:val="0"/>
          <w:i w:val="0"/>
          <w:sz w:val="28"/>
        </w:rPr>
        <w:t>Таблица 1.1 – Сравнительная характеристика методических стандартов разработки бизнес-плана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Параметр сравнения</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Методика ОНПР</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Методика ЕБРР</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Методики международных консультационных компаний</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Методические рекомендации Минэкономразвития РФ</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Целевая аудитория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Инвесторы промышленных проектов</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Кредиторы и со-инвесторы, банки</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Стратегические инвесторы, акционеры</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Государственные органы, банки развития</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Уровень детализации</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Высокий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Высокий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Средний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Средний</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Глубина финансового анализа</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Чистый дисконтированный доход, внутренняя норма доходности, индекс рентабельности, дисконтированный срок окупаемости, учётная норма доходности</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Чистый дисконтированный доход, внутренняя норма доходности, коэффициент покрытия долга, коэффициент покрытия кредита денежными потоками за срок</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Чистый дисконтированный доход, внутренняя норма доходности, экономическая добавленная стоимость, рентабельность инвестированного капитала</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Чистый дисконтированный доход, внутренняя норма доходности, индекс рентабельности, дисконтированный срок окупаемости, анализ чувствительности</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Глубина маркетингового анализа</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Очень 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Учёт социальных эффектов</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Частично</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Высокий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Минимальный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Высокий</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Стандартизация структуры</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Жёсткая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Жёсткая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Гибкая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Жёсткая</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Применимость в Российской Федерации</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Очень высокая</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систематизация автора по материалам [4; 7; 12; 18].</w:t>
      </w:r>
    </w:p>
    <w:p>
      <w:pPr>
        <w:keepNext w:val="0"/>
        <w:spacing w:line="360" w:lineRule="auto" w:before="0" w:after="0"/>
        <w:ind w:firstLine="709"/>
        <w:jc w:val="both"/>
      </w:pPr>
      <w:r>
        <w:rPr>
          <w:rFonts w:ascii="Times New Roman" w:hAnsi="Times New Roman" w:cs="Times New Roman" w:eastAsia="Times New Roman"/>
          <w:b w:val="0"/>
          <w:i w:val="0"/>
          <w:sz w:val="28"/>
        </w:rPr>
        <w:t>Методика ОНПР предполагает поэтапную разработку бизнес-плана, включающую выявление инвестиционных возможностей, предварительную оценку проекта, технико-экономическое обоснование, финансовую оценку и принятие инвестиционного решения. Структура документа в соответствии с указанной методикой включает резюме, описание предприятия и отрасли, описание продукции, маркетинговый план, производственный план, организационный план, финансовый план, оценку рисков и приложения. Преимуществом методики является высокая степень формализации и наличие развёрнутого инструментария финансовой оценки. К её недостаткам относится избыточная детализация для малых и средних проектов.</w:t>
      </w:r>
    </w:p>
    <w:p>
      <w:pPr>
        <w:keepNext w:val="0"/>
        <w:spacing w:line="360" w:lineRule="auto" w:before="0" w:after="0"/>
        <w:ind w:firstLine="709"/>
        <w:jc w:val="both"/>
      </w:pPr>
      <w:r>
        <w:rPr>
          <w:rFonts w:ascii="Times New Roman" w:hAnsi="Times New Roman" w:cs="Times New Roman" w:eastAsia="Times New Roman"/>
          <w:b w:val="0"/>
          <w:i w:val="0"/>
          <w:sz w:val="28"/>
        </w:rPr>
        <w:t>Методика ЕБРР ориентирована преимущественно на банковские кредитные продукты и предусматривает повышенное внимание к параметрам обслуживания долга. В её рамках обязательным является расчёт коэффициента покрытия обслуживания долга и коэффициента покрытия кредита денежными потоками за весь срок действия кредитного договора. Структура бизнес-плана по версии ЕБРР приближена к методике ОНПР, однако содержит расширенный раздел по обеспечению кредита и юридической структуре проекта.</w:t>
      </w:r>
    </w:p>
    <w:p>
      <w:pPr>
        <w:keepNext w:val="0"/>
        <w:spacing w:line="360" w:lineRule="auto" w:before="0" w:after="0"/>
        <w:ind w:firstLine="709"/>
        <w:jc w:val="both"/>
      </w:pPr>
      <w:r>
        <w:rPr>
          <w:rFonts w:ascii="Times New Roman" w:hAnsi="Times New Roman" w:cs="Times New Roman" w:eastAsia="Times New Roman"/>
          <w:b w:val="0"/>
          <w:i w:val="0"/>
          <w:sz w:val="28"/>
        </w:rPr>
        <w:t>Стандарты крупных международных консультационных компаний (таких как «Маккинзи», «Бостон Консалтинг Груп», «Бейн энд Компани») ориентированы на оценку инвестиционной привлекательности проекта в системе акционерной стоимости. Соответствующие методики предполагают развёрнутый стратегический и конкурентный анализ, использование показателей экономической добавленной стоимости и рентабельности инвестированного капитала, а также активное применение моделей сценарного анализа. Структура бизнес-плана, как правило, индивидуализируется под конкретный отраслевой контекст.</w:t>
      </w:r>
    </w:p>
    <w:p>
      <w:pPr>
        <w:keepNext w:val="0"/>
        <w:spacing w:line="360" w:lineRule="auto" w:before="0" w:after="0"/>
        <w:ind w:firstLine="709"/>
        <w:jc w:val="both"/>
      </w:pPr>
      <w:r>
        <w:rPr>
          <w:rFonts w:ascii="Times New Roman" w:hAnsi="Times New Roman" w:cs="Times New Roman" w:eastAsia="Times New Roman"/>
          <w:b w:val="0"/>
          <w:i w:val="0"/>
          <w:sz w:val="28"/>
        </w:rPr>
        <w:t>Методические рекомендации Министерства экономики Российской Федерации (в редакции совместного постановления уполномоченных федеральных органов исполнительной власти) являются официально признанной в Российской Федерации методикой оценки инвестиционных проектов. Соответствующий документ содержит формализованные алгоритмы расчёта показателей коммерческой, бюджетной и экономической эффективности, нормативные значения ставок дисконтирования и формы представления результатов. Применение указанной методики является обязательным при обращении за бюджетным финансированием и желательным при подготовке бизнес-планов для целей кредитования в государственных финансово-кредитных учреждениях.</w:t>
      </w:r>
    </w:p>
    <w:p>
      <w:pPr>
        <w:keepNext w:val="0"/>
        <w:spacing w:line="360" w:lineRule="auto" w:before="0" w:after="0"/>
        <w:ind w:firstLine="709"/>
        <w:jc w:val="both"/>
      </w:pPr>
      <w:r>
        <w:rPr>
          <w:rFonts w:ascii="Times New Roman" w:hAnsi="Times New Roman" w:cs="Times New Roman" w:eastAsia="Times New Roman"/>
          <w:b w:val="0"/>
          <w:i w:val="0"/>
          <w:sz w:val="28"/>
        </w:rPr>
        <w:t>Сопоставление методических стандартов позволяет сделать вывод о целесообразности применения комбинированного подхода, в рамках которого структура и формат документа соответствуют методике ОНПР, расчёт показателей эффективности — Методическим рекомендациям Министерства экономики Российской Федерации, а маркетинговый раздел — стандартам международных консультационных компаний. Подобный подход обеспечивает наилучшее сочетание формализованности, аналитической глубины и применимости документа.</w:t>
      </w:r>
    </w:p>
    <w:p>
      <w:pPr>
        <w:keepNext w:val="0"/>
        <w:spacing w:line="360" w:lineRule="auto" w:before="0" w:after="0"/>
        <w:ind w:firstLine="709"/>
        <w:jc w:val="both"/>
      </w:pPr>
      <w:r>
        <w:rPr>
          <w:rFonts w:ascii="Times New Roman" w:hAnsi="Times New Roman" w:cs="Times New Roman" w:eastAsia="Times New Roman"/>
          <w:b w:val="0"/>
          <w:i w:val="0"/>
          <w:sz w:val="28"/>
        </w:rPr>
        <w:t>Ключевыми показателями коммерческой эффективности инвестиционного проекта являются чистый дисконтированный доход (далее — ЧДД), внутренняя норма доходности (далее — ВНД), индекс рентабельности инвестиций (далее — ИРИ) и дисконтированный срок окупаемости (далее — ДСО). Соответствующие показатели рассчитываются по формулам (1.1)–(1.4).</w:t>
      </w:r>
    </w:p>
    <w:p>
      <w:pPr>
        <w:keepNext w:val="0"/>
        <w:spacing w:line="360" w:lineRule="auto" w:before="120" w:after="120"/>
        <w:ind w:firstLine="0"/>
        <w:jc w:val="center"/>
      </w:pPr>
      <w:r>
        <w:rPr>
          <w:rFonts w:ascii="Times New Roman" w:hAnsi="Times New Roman" w:cs="Times New Roman" w:eastAsia="Times New Roman"/>
          <w:b w:val="0"/>
          <w:i w:val="0"/>
          <w:sz w:val="28"/>
        </w:rPr>
        <w:t>ЧДД = ∑ (ЧДП_t · (1 + r)^(−t)) − ИК    (1.1)</w:t>
      </w:r>
    </w:p>
    <w:p>
      <w:pPr>
        <w:keepNext w:val="0"/>
        <w:spacing w:line="360" w:lineRule="auto" w:before="0" w:after="0"/>
        <w:ind w:firstLine="0"/>
        <w:jc w:val="left"/>
      </w:pPr>
      <w:r>
        <w:rPr>
          <w:rFonts w:ascii="Times New Roman" w:hAnsi="Times New Roman" w:cs="Times New Roman" w:eastAsia="Times New Roman"/>
          <w:b w:val="0"/>
          <w:i w:val="0"/>
          <w:sz w:val="28"/>
        </w:rPr>
        <w:t>где:</w:t>
      </w:r>
    </w:p>
    <w:p>
      <w:pPr>
        <w:keepNext w:val="0"/>
        <w:spacing w:line="360" w:lineRule="auto" w:before="0" w:after="0"/>
        <w:ind w:firstLine="0"/>
        <w:jc w:val="left"/>
      </w:pPr>
      <w:r>
        <w:rPr>
          <w:rFonts w:ascii="Times New Roman" w:hAnsi="Times New Roman" w:cs="Times New Roman" w:eastAsia="Times New Roman"/>
          <w:b w:val="0"/>
          <w:i w:val="0"/>
          <w:sz w:val="28"/>
        </w:rPr>
        <w:t>ЧДП_t — чистый денежный поток проекта в период t, рублей;</w:t>
      </w:r>
    </w:p>
    <w:p>
      <w:pPr>
        <w:keepNext w:val="0"/>
        <w:spacing w:line="360" w:lineRule="auto" w:before="0" w:after="0"/>
        <w:ind w:firstLine="0"/>
        <w:jc w:val="left"/>
      </w:pPr>
      <w:r>
        <w:rPr>
          <w:rFonts w:ascii="Times New Roman" w:hAnsi="Times New Roman" w:cs="Times New Roman" w:eastAsia="Times New Roman"/>
          <w:b w:val="0"/>
          <w:i w:val="0"/>
          <w:sz w:val="28"/>
        </w:rPr>
        <w:t>r — ставка дисконтирования, доли единицы;</w:t>
      </w:r>
    </w:p>
    <w:p>
      <w:pPr>
        <w:keepNext w:val="0"/>
        <w:spacing w:line="360" w:lineRule="auto" w:before="0" w:after="0"/>
        <w:ind w:firstLine="0"/>
        <w:jc w:val="left"/>
      </w:pPr>
      <w:r>
        <w:rPr>
          <w:rFonts w:ascii="Times New Roman" w:hAnsi="Times New Roman" w:cs="Times New Roman" w:eastAsia="Times New Roman"/>
          <w:b w:val="0"/>
          <w:i w:val="0"/>
          <w:sz w:val="28"/>
        </w:rPr>
        <w:t>t — порядковый номер периода реализации проекта;</w:t>
      </w:r>
    </w:p>
    <w:p>
      <w:pPr>
        <w:keepNext w:val="0"/>
        <w:spacing w:line="360" w:lineRule="auto" w:before="0" w:after="0"/>
        <w:ind w:firstLine="0"/>
        <w:jc w:val="left"/>
      </w:pPr>
      <w:r>
        <w:rPr>
          <w:rFonts w:ascii="Times New Roman" w:hAnsi="Times New Roman" w:cs="Times New Roman" w:eastAsia="Times New Roman"/>
          <w:b w:val="0"/>
          <w:i w:val="0"/>
          <w:sz w:val="28"/>
        </w:rPr>
        <w:t>ИК — первоначальные инвестиционные затраты, рублей.</w:t>
      </w:r>
    </w:p>
    <w:p>
      <w:pPr>
        <w:keepNext w:val="0"/>
        <w:spacing w:line="360" w:lineRule="auto" w:before="120" w:after="120"/>
        <w:ind w:firstLine="0"/>
        <w:jc w:val="center"/>
      </w:pPr>
      <w:r>
        <w:rPr>
          <w:rFonts w:ascii="Times New Roman" w:hAnsi="Times New Roman" w:cs="Times New Roman" w:eastAsia="Times New Roman"/>
          <w:b w:val="0"/>
          <w:i w:val="0"/>
          <w:sz w:val="28"/>
        </w:rPr>
        <w:t>ВНД: ∑ (ЧДП_t · (1 + ВНД)^(−t)) − ИК = 0    (1.2)</w:t>
      </w:r>
    </w:p>
    <w:p>
      <w:pPr>
        <w:keepNext w:val="0"/>
        <w:spacing w:line="360" w:lineRule="auto" w:before="0" w:after="0"/>
        <w:ind w:firstLine="709"/>
        <w:jc w:val="both"/>
      </w:pPr>
      <w:r>
        <w:rPr>
          <w:rFonts w:ascii="Times New Roman" w:hAnsi="Times New Roman" w:cs="Times New Roman" w:eastAsia="Times New Roman"/>
          <w:b w:val="0"/>
          <w:i w:val="0"/>
          <w:sz w:val="28"/>
        </w:rPr>
        <w:t>Внутренняя норма доходности (ВНД) рассчитывается как ставка дисконтирования, при которой чистый дисконтированный доход равен нулю. ВНД определяется итеративно (методом подбора) или с применением встроенных функций электронных таблиц.</w:t>
      </w:r>
    </w:p>
    <w:p>
      <w:pPr>
        <w:keepNext w:val="0"/>
        <w:spacing w:line="360" w:lineRule="auto" w:before="120" w:after="120"/>
        <w:ind w:firstLine="0"/>
        <w:jc w:val="center"/>
      </w:pPr>
      <w:r>
        <w:rPr>
          <w:rFonts w:ascii="Times New Roman" w:hAnsi="Times New Roman" w:cs="Times New Roman" w:eastAsia="Times New Roman"/>
          <w:b w:val="0"/>
          <w:i w:val="0"/>
          <w:sz w:val="28"/>
        </w:rPr>
        <w:t>ИРИ = (∑ ЧДП_t · (1 + r)^(−t)) / ИК    (1.3)</w:t>
      </w:r>
    </w:p>
    <w:p>
      <w:pPr>
        <w:keepNext w:val="0"/>
        <w:spacing w:line="360" w:lineRule="auto" w:before="0" w:after="0"/>
        <w:ind w:firstLine="709"/>
        <w:jc w:val="both"/>
      </w:pPr>
      <w:r>
        <w:rPr>
          <w:rFonts w:ascii="Times New Roman" w:hAnsi="Times New Roman" w:cs="Times New Roman" w:eastAsia="Times New Roman"/>
          <w:b w:val="0"/>
          <w:i w:val="0"/>
          <w:sz w:val="28"/>
        </w:rPr>
        <w:t>Проект признаётся коммерчески эффективным, если ИРИ &gt; 1.</w:t>
      </w:r>
    </w:p>
    <w:p>
      <w:pPr>
        <w:keepNext w:val="0"/>
        <w:spacing w:line="360" w:lineRule="auto" w:before="120" w:after="120"/>
        <w:ind w:firstLine="0"/>
        <w:jc w:val="center"/>
      </w:pPr>
      <w:r>
        <w:rPr>
          <w:rFonts w:ascii="Times New Roman" w:hAnsi="Times New Roman" w:cs="Times New Roman" w:eastAsia="Times New Roman"/>
          <w:b w:val="0"/>
          <w:i w:val="0"/>
          <w:sz w:val="28"/>
        </w:rPr>
        <w:t>ДСО = T + |НДДП_T| / ЧДДП_(T+1)    (1.4)</w:t>
      </w:r>
    </w:p>
    <w:p>
      <w:pPr>
        <w:keepNext w:val="0"/>
        <w:spacing w:line="360" w:lineRule="auto" w:before="0" w:after="0"/>
        <w:ind w:firstLine="0"/>
        <w:jc w:val="left"/>
      </w:pPr>
      <w:r>
        <w:rPr>
          <w:rFonts w:ascii="Times New Roman" w:hAnsi="Times New Roman" w:cs="Times New Roman" w:eastAsia="Times New Roman"/>
          <w:b w:val="0"/>
          <w:i w:val="0"/>
          <w:sz w:val="28"/>
        </w:rPr>
        <w:t>где:</w:t>
      </w:r>
    </w:p>
    <w:p>
      <w:pPr>
        <w:keepNext w:val="0"/>
        <w:spacing w:line="360" w:lineRule="auto" w:before="0" w:after="0"/>
        <w:ind w:firstLine="0"/>
        <w:jc w:val="left"/>
      </w:pPr>
      <w:r>
        <w:rPr>
          <w:rFonts w:ascii="Times New Roman" w:hAnsi="Times New Roman" w:cs="Times New Roman" w:eastAsia="Times New Roman"/>
          <w:b w:val="0"/>
          <w:i w:val="0"/>
          <w:sz w:val="28"/>
        </w:rPr>
        <w:t>T — последний период с отрицательным накопленным дисконтированным денежным потоком (НДДП);</w:t>
      </w:r>
    </w:p>
    <w:p>
      <w:pPr>
        <w:keepNext w:val="0"/>
        <w:spacing w:line="360" w:lineRule="auto" w:before="0" w:after="0"/>
        <w:ind w:firstLine="0"/>
        <w:jc w:val="left"/>
      </w:pPr>
      <w:r>
        <w:rPr>
          <w:rFonts w:ascii="Times New Roman" w:hAnsi="Times New Roman" w:cs="Times New Roman" w:eastAsia="Times New Roman"/>
          <w:b w:val="0"/>
          <w:i w:val="0"/>
          <w:sz w:val="28"/>
        </w:rPr>
        <w:t>ЧДДП_(T+1) — чистый дисконтированный денежный поток в следующем периоде, рублей.</w:t>
      </w:r>
    </w:p>
    <w:p>
      <w:pPr>
        <w:keepNext w:val="0"/>
        <w:spacing w:line="360" w:lineRule="auto" w:before="0" w:after="0"/>
        <w:ind w:firstLine="709"/>
        <w:jc w:val="both"/>
      </w:pPr>
      <w:r>
        <w:rPr>
          <w:rFonts w:ascii="Times New Roman" w:hAnsi="Times New Roman" w:cs="Times New Roman" w:eastAsia="Times New Roman"/>
          <w:b w:val="0"/>
          <w:i w:val="0"/>
          <w:sz w:val="28"/>
        </w:rPr>
        <w:t>Дополнительным показателем, применяемым при оценке стоимости капитала, является средневзвешенная стоимость капитала (далее — ССК), рассчитываемая по формуле (1.5).</w:t>
      </w:r>
    </w:p>
    <w:p>
      <w:pPr>
        <w:keepNext w:val="0"/>
        <w:spacing w:line="360" w:lineRule="auto" w:before="120" w:after="120"/>
        <w:ind w:firstLine="0"/>
        <w:jc w:val="center"/>
      </w:pPr>
      <w:r>
        <w:rPr>
          <w:rFonts w:ascii="Times New Roman" w:hAnsi="Times New Roman" w:cs="Times New Roman" w:eastAsia="Times New Roman"/>
          <w:b w:val="0"/>
          <w:i w:val="0"/>
          <w:sz w:val="28"/>
        </w:rPr>
        <w:t>ССК = (СК / К) · r_СК + (ЗК / К) · r_ЗК · (1 − Сн)    (1.5)</w:t>
      </w:r>
    </w:p>
    <w:p>
      <w:pPr>
        <w:keepNext w:val="0"/>
        <w:spacing w:line="360" w:lineRule="auto" w:before="0" w:after="0"/>
        <w:ind w:firstLine="0"/>
        <w:jc w:val="left"/>
      </w:pPr>
      <w:r>
        <w:rPr>
          <w:rFonts w:ascii="Times New Roman" w:hAnsi="Times New Roman" w:cs="Times New Roman" w:eastAsia="Times New Roman"/>
          <w:b w:val="0"/>
          <w:i w:val="0"/>
          <w:sz w:val="28"/>
        </w:rPr>
        <w:t>где:</w:t>
      </w:r>
    </w:p>
    <w:p>
      <w:pPr>
        <w:keepNext w:val="0"/>
        <w:spacing w:line="360" w:lineRule="auto" w:before="0" w:after="0"/>
        <w:ind w:firstLine="0"/>
        <w:jc w:val="left"/>
      </w:pPr>
      <w:r>
        <w:rPr>
          <w:rFonts w:ascii="Times New Roman" w:hAnsi="Times New Roman" w:cs="Times New Roman" w:eastAsia="Times New Roman"/>
          <w:b w:val="0"/>
          <w:i w:val="0"/>
          <w:sz w:val="28"/>
        </w:rPr>
        <w:t>СК — собственный капитал, ЗК — заёмный капитал, К — общая величина капитала, рублей;</w:t>
      </w:r>
    </w:p>
    <w:p>
      <w:pPr>
        <w:keepNext w:val="0"/>
        <w:spacing w:line="360" w:lineRule="auto" w:before="0" w:after="0"/>
        <w:ind w:firstLine="0"/>
        <w:jc w:val="left"/>
      </w:pPr>
      <w:r>
        <w:rPr>
          <w:rFonts w:ascii="Times New Roman" w:hAnsi="Times New Roman" w:cs="Times New Roman" w:eastAsia="Times New Roman"/>
          <w:b w:val="0"/>
          <w:i w:val="0"/>
          <w:sz w:val="28"/>
        </w:rPr>
        <w:t>r_СК — стоимость собственного капитала, доли единицы;</w:t>
      </w:r>
    </w:p>
    <w:p>
      <w:pPr>
        <w:keepNext w:val="0"/>
        <w:spacing w:line="360" w:lineRule="auto" w:before="0" w:after="0"/>
        <w:ind w:firstLine="0"/>
        <w:jc w:val="left"/>
      </w:pPr>
      <w:r>
        <w:rPr>
          <w:rFonts w:ascii="Times New Roman" w:hAnsi="Times New Roman" w:cs="Times New Roman" w:eastAsia="Times New Roman"/>
          <w:b w:val="0"/>
          <w:i w:val="0"/>
          <w:sz w:val="28"/>
        </w:rPr>
        <w:t>r_ЗК — стоимость заёмного капитала, доли единицы;</w:t>
      </w:r>
    </w:p>
    <w:p>
      <w:pPr>
        <w:keepNext w:val="0"/>
        <w:spacing w:line="360" w:lineRule="auto" w:before="0" w:after="0"/>
        <w:ind w:firstLine="0"/>
        <w:jc w:val="left"/>
      </w:pPr>
      <w:r>
        <w:rPr>
          <w:rFonts w:ascii="Times New Roman" w:hAnsi="Times New Roman" w:cs="Times New Roman" w:eastAsia="Times New Roman"/>
          <w:b w:val="0"/>
          <w:i w:val="0"/>
          <w:sz w:val="28"/>
        </w:rPr>
        <w:t>Сн — ставка налога на прибыль, доли единицы.</w:t>
      </w:r>
    </w:p>
    <w:p>
      <w:pPr>
        <w:keepNext w:val="0"/>
        <w:spacing w:line="360" w:lineRule="auto" w:before="0" w:after="0"/>
        <w:ind w:firstLine="709"/>
        <w:jc w:val="both"/>
      </w:pPr>
      <w:r>
        <w:rPr>
          <w:rFonts w:ascii="Times New Roman" w:hAnsi="Times New Roman" w:cs="Times New Roman" w:eastAsia="Times New Roman"/>
          <w:b w:val="0"/>
          <w:i w:val="0"/>
          <w:sz w:val="28"/>
        </w:rPr>
        <w:t>Сопоставление методических стандартов и рассмотренные формулы расчёта показателей коммерческой эффективности задают единый методологический инструментарий для обоснования инвестиционных решений. Их комбинированное применение в рамках единого исследовательского проекта позволяет получить документ, отвечающий как отечественным нормативным требованиям, так и международной практике проектного финансирования.</w:t>
      </w:r>
    </w:p>
    <w:p>
      <w:pPr>
        <w:keepNext/>
        <w:spacing w:line="360" w:lineRule="auto" w:before="240" w:after="120"/>
        <w:ind w:firstLine="709"/>
        <w:jc w:val="left"/>
      </w:pPr>
      <w:r>
        <w:rPr>
          <w:rFonts w:ascii="Times New Roman" w:hAnsi="Times New Roman" w:cs="Times New Roman" w:eastAsia="Times New Roman"/>
          <w:b/>
          <w:i w:val="0"/>
          <w:sz w:val="28"/>
        </w:rPr>
        <w:t>1.3 Зарубежный опыт бизнес-планирования при запуске собственного производства торговых марок в сегменте модной одежды и обуви</w:t>
      </w:r>
    </w:p>
    <w:p>
      <w:pPr>
        <w:keepNext w:val="0"/>
        <w:spacing w:line="360" w:lineRule="auto" w:before="0" w:after="0"/>
        <w:ind w:firstLine="709"/>
        <w:jc w:val="both"/>
      </w:pPr>
      <w:r>
        <w:rPr>
          <w:rFonts w:ascii="Times New Roman" w:hAnsi="Times New Roman" w:cs="Times New Roman" w:eastAsia="Times New Roman"/>
          <w:b w:val="0"/>
          <w:i w:val="0"/>
          <w:sz w:val="28"/>
        </w:rPr>
        <w:t>Зарубежная практика разработки и реализации бизнес-планов запуска собственного производства торговых марок в сегменте модной одежды и обуви накопила значительный методический и эмпирический материал, систематизация которого позволяет выделить устойчивые модели поведения крупных розничных операторов и применимые в российских условиях управленческие решения. К числу наиболее изученных зарубежных проектов относятся опыт испанской группы «Индитекс» (торговая марка «Зара»), шведской компании «Эйч энд Эм», японской корпорации «Фаст Ритейлинг» (торговая марка «Юникло»), американских корпораций «Найк» и «Ви-Эф Корпорейшн», немецкой «Адидас», британского розничного оператора «АСОС», американских платформ «Амазон» (собственная торговая марка «Амазон Эссеншиалс») и «Уолмарт» (собственные торговые марки «Джордж» и «Фри Ассембли»).</w:t>
      </w:r>
    </w:p>
    <w:p>
      <w:pPr>
        <w:keepNext w:val="0"/>
        <w:spacing w:line="360" w:lineRule="auto" w:before="0" w:after="0"/>
        <w:ind w:firstLine="709"/>
        <w:jc w:val="both"/>
      </w:pPr>
      <w:r>
        <w:rPr>
          <w:rFonts w:ascii="Times New Roman" w:hAnsi="Times New Roman" w:cs="Times New Roman" w:eastAsia="Times New Roman"/>
          <w:b w:val="0"/>
          <w:i w:val="0"/>
          <w:sz w:val="28"/>
        </w:rPr>
        <w:t>Систематизация зарубежного опыта показывает, что в основе бизнес-планов запуска собственного производства торговых марок крупных розничных операторов лежат три устойчивые модели организации цепочки создания стоимости: модель вертикальной интеграции (розничный продавец-производитель собственной торговой марки), модель «лёгких активов» с преобладанием контрактного производства и комбинированная модель, объединяющая отдельные элементы первых двух. Зарубежный опыт демонстрирует, что выбор модели существенным образом предопределяет структуру бизнес-плана и состав расчётных показателей.</w:t>
      </w:r>
    </w:p>
    <w:p>
      <w:pPr>
        <w:keepNext w:val="0"/>
        <w:spacing w:line="360" w:lineRule="auto" w:before="0" w:after="0"/>
        <w:ind w:firstLine="709"/>
        <w:jc w:val="both"/>
      </w:pPr>
      <w:r>
        <w:rPr>
          <w:rFonts w:ascii="Times New Roman" w:hAnsi="Times New Roman" w:cs="Times New Roman" w:eastAsia="Times New Roman"/>
          <w:b w:val="0"/>
          <w:i w:val="0"/>
          <w:sz w:val="28"/>
        </w:rPr>
        <w:t>Модель розничного продавца-производителя получила наиболее последовательное воплощение в практике компаний «Индитекс» (торговая марка «Зара») и «Фаст Ритейлинг» (торговая марка «Юникло»). Бизнес-планирование в рамках указанной модели опирается на принцип сжатого цикла «дизайн — производство — реализация» продолжительностью от двух до пяти недель и предполагает географическую близость части производственных мощностей к рынку конечной реализации. Применительно к «Зара» около половины ассортимента производится на собственных и контрактных площадках, расположенных в Испании, Португалии, Марокко и Турции, что обеспечивает оперативное обновление коллекций и снижение запасов в каналах сбыта. Бизнес-планы запуска новых производственных линий в подобной модели содержат расширенный раздел логистики, отдельный блок управления цифровым моделированием спроса и развёрнутый расчёт операционного денежного цикла. Финансовые показатели проектов оцениваются с особым вниманием к оборачиваемости товарных запасов и к доле «свежего» ассортимента, которая в практике «Индитекс» поддерживается на уровне выше 75 процентов в течение торгового сезона.</w:t>
      </w:r>
    </w:p>
    <w:p>
      <w:pPr>
        <w:keepNext w:val="0"/>
        <w:spacing w:line="360" w:lineRule="auto" w:before="0" w:after="0"/>
        <w:ind w:firstLine="709"/>
        <w:jc w:val="both"/>
      </w:pPr>
      <w:r>
        <w:rPr>
          <w:rFonts w:ascii="Times New Roman" w:hAnsi="Times New Roman" w:cs="Times New Roman" w:eastAsia="Times New Roman"/>
          <w:b w:val="0"/>
          <w:i w:val="0"/>
          <w:sz w:val="28"/>
        </w:rPr>
        <w:t>Опыт «Фаст Ритейлинг» (торговая марка «Юникло») демонстрирует иную акцентировку: бизнес-планы запуска производственных направлений ориентированы на массовое производство ограниченного числа базовых артикулов с продолжительным жизненным циклом и углублённой технологической проработкой каждой модели. Финансовая модель проекта строится на удержании себестоимости на уровне, обеспечивающем устойчивую валовую маржинальность 48–52 процента, что достигается долгосрочными контрактами с азиатскими производителями (Бангладеш, Вьетнам, Камбоджа) и значительными инвестициями в материаловедение. Бизнес-планы «Юникло» традиционно включают развёрнутый раздел научно-исследовательских и опытно-конструкторских работ, в том числе подразделение перспективных разработок в Токио, что нехарактерно для модели «Зара».</w:t>
      </w:r>
    </w:p>
    <w:p>
      <w:pPr>
        <w:keepNext w:val="0"/>
        <w:spacing w:line="360" w:lineRule="auto" w:before="0" w:after="0"/>
        <w:ind w:firstLine="709"/>
        <w:jc w:val="both"/>
      </w:pPr>
      <w:r>
        <w:rPr>
          <w:rFonts w:ascii="Times New Roman" w:hAnsi="Times New Roman" w:cs="Times New Roman" w:eastAsia="Times New Roman"/>
          <w:b w:val="0"/>
          <w:i w:val="0"/>
          <w:sz w:val="28"/>
        </w:rPr>
        <w:t>Модель «лёгких активов» с преобладанием контрактного производства реализована в практике корпораций «Найк» и «Адидас». В рамках указанной модели предприятие концентрирует собственные ресурсы на ключевых звеньях создания стоимости — дизайне, инженерных разработках, маркетинге и сбыте, а производственные операции передаёт независимым подрядчикам, преимущественно расположенным в государствах Юго-Восточной Азии. По публично раскрываемой информации «Найк», около 96 процентов всей обуви и более 90 процентов одежды производятся контрактными подрядчиками в семнадцати-двадцати государствах. Бизнес-планы запуска новых производственных направлений в подобной модели включают развёрнутый раздел управления цепями поставок, отдельный блок устойчивого развития (соблюдение трудовых и экологических стандартов) и формализованную процедуру отбора и аудита подрядчиков. Финансовые показатели проектов оцениваются с акцентом на рентабельность активов и оборачиваемость капитала, что обусловлено сравнительно невысокой капитальной интенсивностью подобных проектов.</w:t>
      </w:r>
    </w:p>
    <w:p>
      <w:pPr>
        <w:keepNext w:val="0"/>
        <w:spacing w:line="360" w:lineRule="auto" w:before="0" w:after="0"/>
        <w:ind w:firstLine="709"/>
        <w:jc w:val="both"/>
      </w:pPr>
      <w:r>
        <w:rPr>
          <w:rFonts w:ascii="Times New Roman" w:hAnsi="Times New Roman" w:cs="Times New Roman" w:eastAsia="Times New Roman"/>
          <w:b w:val="0"/>
          <w:i w:val="0"/>
          <w:sz w:val="28"/>
        </w:rPr>
        <w:t>Опыт «Ви-Эф Корпорейшн» (торговые марки «Ванс», «Зэ Норт Фейс», «Тимберленд»), напротив, демонстрирует комбинированную модель: часть стратегически значимых производственных операций (включая отдельные модели обуви категории «Ванс») выполняется на собственных площадках, а основной объём передаётся подрядчикам в Китае, Вьетнаме и Индии. Бизнес-планы запуска производственных направлений в комбинированной модели наиболее близки к российской практике, поскольку учитывают одновременно капитальные затраты на собственное производство и операционные затраты на работу с подрядной сетью. Указанная модель является основой для расчётов, выполненных в третьей главе настоящей работы.</w:t>
      </w:r>
    </w:p>
    <w:p>
      <w:pPr>
        <w:keepNext w:val="0"/>
        <w:spacing w:line="360" w:lineRule="auto" w:before="0" w:after="0"/>
        <w:ind w:firstLine="709"/>
        <w:jc w:val="both"/>
      </w:pPr>
      <w:r>
        <w:rPr>
          <w:rFonts w:ascii="Times New Roman" w:hAnsi="Times New Roman" w:cs="Times New Roman" w:eastAsia="Times New Roman"/>
          <w:b w:val="0"/>
          <w:i w:val="0"/>
          <w:sz w:val="28"/>
        </w:rPr>
        <w:t>Особое значение приобретает зарубежный опыт интеграции собственного производства торговых марок в действующие торговые интернет-площадки. Бизнес-планы, разработанные «АСОС», «Заландо», «Амазон» и «Уолмарт», содержат специфический раздел, посвящённый встраиванию производственного направления в логистическую инфраструктуру торговой площадки. Так, по данным публичной отчётности «Амазон», собственная торговая марка «Амазон Эссеншиалс», запущенная в 2016 году, к 2023 году обеспечила выручку, превышающую 1 млрд долларов США, при инвестиционной фазе, не превышающей 18 месяцев. Бизнес-план запуска торговой марки изначально предусматривал использование собственных распределительных центров, действующей базы данных пользовательских предпочтений и аналитического аппарата машинного обучения для прогнозирования спроса по ассортиментным позициям. Аналогичную бизнес-модель реализует «АСОС» в рамках торговых марок «АСОС Дизайн», «Коллюжн» и «Реклеймд Винтейдж», доля которых в общей выручке компании в 2023 финансовом году превысила 50 процентов.</w:t>
      </w:r>
    </w:p>
    <w:p>
      <w:pPr>
        <w:keepNext w:val="0"/>
        <w:spacing w:line="360" w:lineRule="auto" w:before="0" w:after="0"/>
        <w:ind w:firstLine="709"/>
        <w:jc w:val="both"/>
      </w:pPr>
      <w:r>
        <w:rPr>
          <w:rFonts w:ascii="Times New Roman" w:hAnsi="Times New Roman" w:cs="Times New Roman" w:eastAsia="Times New Roman"/>
          <w:b w:val="0"/>
          <w:i w:val="0"/>
          <w:sz w:val="28"/>
        </w:rPr>
        <w:t>Сопоставление основных параметров зарубежных бизнес-планов запуска собственного производства торговых марок в сегменте модной одежды и обуви представлено в таблице 1.2.</w:t>
      </w:r>
    </w:p>
    <w:p>
      <w:pPr>
        <w:keepNext/>
        <w:spacing w:line="360" w:lineRule="auto" w:before="120" w:after="0"/>
        <w:ind w:firstLine="0"/>
        <w:jc w:val="left"/>
      </w:pPr>
      <w:r>
        <w:rPr>
          <w:rFonts w:ascii="Times New Roman" w:hAnsi="Times New Roman" w:cs="Times New Roman" w:eastAsia="Times New Roman"/>
          <w:b w:val="0"/>
          <w:i w:val="0"/>
          <w:sz w:val="28"/>
        </w:rPr>
        <w:t>Таблица 1.2 – Сравнительная характеристика зарубежного опыта бизнес-планирования запуска собственного производства торговых марок в сегменте модной одежды и обуви</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2154"/>
            <w:vAlign w:val="center"/>
          </w:tcPr>
          <w:p>
            <w:pPr>
              <w:spacing w:line="240" w:lineRule="auto" w:before="0" w:after="0"/>
              <w:ind w:firstLine="0"/>
              <w:jc w:val="center"/>
            </w:pPr>
            <w:r>
              <w:rPr>
                <w:rFonts w:ascii="Times New Roman" w:hAnsi="Times New Roman" w:cs="Times New Roman" w:eastAsia="Times New Roman"/>
                <w:b/>
                <w:i w:val="0"/>
                <w:sz w:val="24"/>
              </w:rPr>
              <w:t>Компания (страна)</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Модель организации производства</w:t>
            </w:r>
          </w:p>
        </w:tc>
        <w:tc>
          <w:tcPr>
            <w:tcW w:type="dxa" w:w="1361"/>
            <w:vAlign w:val="center"/>
          </w:tcPr>
          <w:p>
            <w:pPr>
              <w:spacing w:line="240" w:lineRule="auto" w:before="0" w:after="0"/>
              <w:ind w:firstLine="0"/>
              <w:jc w:val="center"/>
            </w:pPr>
            <w:r>
              <w:rPr>
                <w:rFonts w:ascii="Times New Roman" w:hAnsi="Times New Roman" w:cs="Times New Roman" w:eastAsia="Times New Roman"/>
                <w:b/>
                <w:i w:val="0"/>
                <w:sz w:val="24"/>
              </w:rPr>
              <w:t>Срок инвестиционной фазы, месяцев</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Структура источников финансирования</w:t>
            </w:r>
          </w:p>
        </w:tc>
        <w:tc>
          <w:tcPr>
            <w:tcW w:type="dxa" w:w="1474"/>
            <w:vAlign w:val="center"/>
          </w:tcPr>
          <w:p>
            <w:pPr>
              <w:spacing w:line="240" w:lineRule="auto" w:before="0" w:after="0"/>
              <w:ind w:firstLine="0"/>
              <w:jc w:val="center"/>
            </w:pPr>
            <w:r>
              <w:rPr>
                <w:rFonts w:ascii="Times New Roman" w:hAnsi="Times New Roman" w:cs="Times New Roman" w:eastAsia="Times New Roman"/>
                <w:b/>
                <w:i w:val="0"/>
                <w:sz w:val="24"/>
              </w:rPr>
              <w:t>Срок окупаемости, лет</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«Индитекс», торговая марка «Зара» (Испания)</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Вертикальная интеграция (модель «розничный продавец-производитель»), 50 процентов собственного и контрактного производства в географической близости к рынку</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12 до 18</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группы — до 85 процентов</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3 до 4</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«Фаст Ритейлинг», торговая марка «Юникло» (Япония)</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Модель розничного продавца-производителя с долгосрочными контрактами на азиатских площадках</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18 до 24</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и облигационные займы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4 до 5</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«Найк» (США)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Модель «лёгких активов», около 96 процентов обуви — контрактное производство</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9 до 12</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Преимущественно собственные средства и эмиссия акций</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2 до 3</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«Адидас» (Германия)</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Модель «лёгких активов», азиатские подрядчики при сохранении собственных опытных площадок</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12 до 18</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и банковские кредиты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3 до 4</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«Ви-Эф Корпорейшн», торговая марка «Ванс» (США)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Комбинированная модель: собственные ключевые операции, остальные — подрядчикам</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18 до 24</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и облигационные займы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4 до 5</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«АСОС», торговые марки «АСОС Дизайн», «Коллюжн» (Великобритания)</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Контрактное производство, интеграция с торговой интернет-площадкой</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9 до 12</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краткосрочные банковские линии</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2 до 3</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«Амазон», торговая марка «Амазон Эссеншиалс» (США)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Контрактное производство, использование собственной платформы и данных пользователей</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12 до 18</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группы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2 до 3</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«Уолмарт», торговая марка «Джордж» (США)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Контрактное производство, использование собственной розничной сети и платформы «Уолмарт»</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12 до 18</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группы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3 до 4</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систематизация автора по данным публичной финансовой отчётности соответствующих компаний и отраслевых обзоров [28; 31; 34; 41; 42].</w:t>
      </w:r>
    </w:p>
    <w:p>
      <w:pPr>
        <w:keepNext w:val="0"/>
        <w:spacing w:line="360" w:lineRule="auto" w:before="0" w:after="0"/>
        <w:ind w:firstLine="709"/>
        <w:jc w:val="both"/>
      </w:pPr>
      <w:r>
        <w:rPr>
          <w:rFonts w:ascii="Times New Roman" w:hAnsi="Times New Roman" w:cs="Times New Roman" w:eastAsia="Times New Roman"/>
          <w:b w:val="0"/>
          <w:i w:val="0"/>
          <w:sz w:val="28"/>
        </w:rPr>
        <w:t>Анализ данных таблицы 1.2 показывает, что наименьшие сроки инвестиционной фазы и наименьшие сроки окупаемости характерны для проектов, реализуемых в рамках модели «лёгких активов» с интеграцией в действующую торговую интернет-площадку («Амазон Эссеншиалс», «АСОС Дизайн»). Указанная закономерность обусловлена тем, что отсутствие крупных капитальных вложений в основные средства и использование действующей инфраструктуры сбыта и логистики снижают одновременно объём инвестиций и сроки выхода на проектную мощность. Подобный результат имеет прямое отношение к бизнес-плану, разрабатываемому в третьей главе настоящей работы для ООО «КУПИШУЗ», поскольку базовое предприятие также эксплуатирует собственную торговую интернет-площадку с развитой логистической инфраструктурой.</w:t>
      </w:r>
    </w:p>
    <w:p>
      <w:pPr>
        <w:keepNext w:val="0"/>
        <w:spacing w:line="360" w:lineRule="auto" w:before="0" w:after="0"/>
        <w:ind w:firstLine="709"/>
        <w:jc w:val="both"/>
      </w:pPr>
      <w:r>
        <w:rPr>
          <w:rFonts w:ascii="Times New Roman" w:hAnsi="Times New Roman" w:cs="Times New Roman" w:eastAsia="Times New Roman"/>
          <w:b w:val="0"/>
          <w:i w:val="0"/>
          <w:sz w:val="28"/>
        </w:rPr>
        <w:t>Систематизация зарубежного опыта позволяет выделить семь ключевых принципов бизнес-планирования при запуске собственного производства торговых марок в сегменте модной одежды и обуви, которые целесообразно использовать при разработке российских проектов.</w:t>
      </w:r>
    </w:p>
    <w:p>
      <w:pPr>
        <w:keepNext w:val="0"/>
        <w:spacing w:line="360" w:lineRule="auto" w:before="0" w:after="0"/>
        <w:ind w:firstLine="709"/>
        <w:jc w:val="both"/>
      </w:pPr>
      <w:r>
        <w:rPr>
          <w:rFonts w:ascii="Times New Roman" w:hAnsi="Times New Roman" w:cs="Times New Roman" w:eastAsia="Times New Roman"/>
          <w:b w:val="0"/>
          <w:i w:val="0"/>
          <w:sz w:val="28"/>
        </w:rPr>
        <w:t>Первый принцип — встраивание производственного направления в действующую инфраструктуру сбыта. Зарубежный опыт показывает, что бизнес-планы, предусматривающие запуск собственной торговой марки на базе действующей торговой интернет-площадки, демонстрируют существенно более высокие показатели коммерческой эффективности по сравнению с автономными проектами. Снижение коммерческого риска достигается за счёт использования сформированной клиентской базы и накопленных данных о структуре спроса.</w:t>
      </w:r>
    </w:p>
    <w:p>
      <w:pPr>
        <w:keepNext w:val="0"/>
        <w:spacing w:line="360" w:lineRule="auto" w:before="0" w:after="0"/>
        <w:ind w:firstLine="709"/>
        <w:jc w:val="both"/>
      </w:pPr>
      <w:r>
        <w:rPr>
          <w:rFonts w:ascii="Times New Roman" w:hAnsi="Times New Roman" w:cs="Times New Roman" w:eastAsia="Times New Roman"/>
          <w:b w:val="0"/>
          <w:i w:val="0"/>
          <w:sz w:val="28"/>
        </w:rPr>
        <w:t>Второй принцип — поэтапное наращивание производственной мощности. В практике «Индитекс», «Юникло» и «Амазон Эссеншиалс» бизнес-планы предусматривают запуск производственной линии с уровня 25–40 процентов проектной мощности с последующим выходом на полную мощность в течение 12–18 месяцев. Подобный подход позволяет проверить ключевые предположения проекта на ограниченных объёмах продаж и избежать критических ошибок на стадии масштабирования.</w:t>
      </w:r>
    </w:p>
    <w:p>
      <w:pPr>
        <w:keepNext w:val="0"/>
        <w:spacing w:line="360" w:lineRule="auto" w:before="0" w:after="0"/>
        <w:ind w:firstLine="709"/>
        <w:jc w:val="both"/>
      </w:pPr>
      <w:r>
        <w:rPr>
          <w:rFonts w:ascii="Times New Roman" w:hAnsi="Times New Roman" w:cs="Times New Roman" w:eastAsia="Times New Roman"/>
          <w:b w:val="0"/>
          <w:i w:val="0"/>
          <w:sz w:val="28"/>
        </w:rPr>
        <w:t>Третий принцип — приоритет ограниченного, но регулярно обновляемого ассортимента. Зарубежный опыт показывает, что бизнес-планы, ориентированные на чрезмерно широкую первоначальную ассортиментную матрицу, демонстрируют существенно более низкую оборачиваемость товарных запасов и более продолжительный срок выхода на проектную окупаемость. Базовый ассортимент в проектах «Амазон Эссеншиалс» и «Юникло» на момент запуска не превышал 80–120 артикулов с регулярным расширением по результатам коммерческой эксплуатации.</w:t>
      </w:r>
    </w:p>
    <w:p>
      <w:pPr>
        <w:keepNext w:val="0"/>
        <w:spacing w:line="360" w:lineRule="auto" w:before="0" w:after="0"/>
        <w:ind w:firstLine="709"/>
        <w:jc w:val="both"/>
      </w:pPr>
      <w:r>
        <w:rPr>
          <w:rFonts w:ascii="Times New Roman" w:hAnsi="Times New Roman" w:cs="Times New Roman" w:eastAsia="Times New Roman"/>
          <w:b w:val="0"/>
          <w:i w:val="0"/>
          <w:sz w:val="28"/>
        </w:rPr>
        <w:t>Четвёртый принцип — двойной подрядный контур. Бизнес-планы «Найк» и «Ви-Эф Корпорейшн» предусматривают наличие как минимум двух независимых подрядных площадок для каждой ключевой производственной операции, что обеспечивает непрерывность поставок при возникновении сбоев у одного из подрядчиков. Указанный принцип особенно актуален в условиях геополитической нестабильности и перестройки глобальных цепей поставок 2022–2025 годов.</w:t>
      </w:r>
    </w:p>
    <w:p>
      <w:pPr>
        <w:keepNext w:val="0"/>
        <w:spacing w:line="360" w:lineRule="auto" w:before="0" w:after="0"/>
        <w:ind w:firstLine="709"/>
        <w:jc w:val="both"/>
      </w:pPr>
      <w:r>
        <w:rPr>
          <w:rFonts w:ascii="Times New Roman" w:hAnsi="Times New Roman" w:cs="Times New Roman" w:eastAsia="Times New Roman"/>
          <w:b w:val="0"/>
          <w:i w:val="0"/>
          <w:sz w:val="28"/>
        </w:rPr>
        <w:t>Пятый принцип — формализованная процедура отбора и аудита подрядчиков. В практике «Адидас» и «Ви-Эф Корпорейшн» отбор подрядных площадок осуществляется на основе формализованной балльной системы, учитывающей производственную мощность, технологическую оснащённость, финансовую устойчивость, соответствие трудовым и экологическим стандартам. Бизнес-план обязательно включает соответствующий раздел и методику оценки.</w:t>
      </w:r>
    </w:p>
    <w:p>
      <w:pPr>
        <w:keepNext w:val="0"/>
        <w:spacing w:line="360" w:lineRule="auto" w:before="0" w:after="0"/>
        <w:ind w:firstLine="709"/>
        <w:jc w:val="both"/>
      </w:pPr>
      <w:r>
        <w:rPr>
          <w:rFonts w:ascii="Times New Roman" w:hAnsi="Times New Roman" w:cs="Times New Roman" w:eastAsia="Times New Roman"/>
          <w:b w:val="0"/>
          <w:i w:val="0"/>
          <w:sz w:val="28"/>
        </w:rPr>
        <w:t>Шестой принцип — углублённый раздел управления валютным риском. Зарубежные бизнес-планы по проектам, предусматривающим использование импортного сырья или подрядных площадок в иностранной юрисдикции, в обязательном порядке содержат программу страхования валютных рисков (срочные контракты, валютные оговорки в договорах, привлечение синтетического финансирования в валюте выручки). В российских условиях указанный принцип приобретает повышенное значение в связи с колебаниями курса национальной валюты.</w:t>
      </w:r>
    </w:p>
    <w:p>
      <w:pPr>
        <w:keepNext w:val="0"/>
        <w:spacing w:line="360" w:lineRule="auto" w:before="0" w:after="0"/>
        <w:ind w:firstLine="709"/>
        <w:jc w:val="both"/>
      </w:pPr>
      <w:r>
        <w:rPr>
          <w:rFonts w:ascii="Times New Roman" w:hAnsi="Times New Roman" w:cs="Times New Roman" w:eastAsia="Times New Roman"/>
          <w:b w:val="0"/>
          <w:i w:val="0"/>
          <w:sz w:val="28"/>
        </w:rPr>
        <w:t>Седьмой принцип — обязательный сценарный анализ и проверка устойчивости проекта. Зарубежная практика предусматривает разработку не менее трёх сценариев реализации проекта (пессимистический, базовый, оптимистический) и проверку устойчивости проекта по совокупности неблагоприятных факторов. В рамках бизнес-планов крупных международных консультационных компаний проверка устойчивости рассматривается как обязательный элемент финансовой модели, без которого документ не принимается к рассмотрению инвестиционным комитетом.</w:t>
      </w:r>
    </w:p>
    <w:p>
      <w:pPr>
        <w:keepNext w:val="0"/>
        <w:spacing w:line="360" w:lineRule="auto" w:before="0" w:after="0"/>
        <w:ind w:firstLine="709"/>
        <w:jc w:val="both"/>
      </w:pPr>
      <w:r>
        <w:rPr>
          <w:rFonts w:ascii="Times New Roman" w:hAnsi="Times New Roman" w:cs="Times New Roman" w:eastAsia="Times New Roman"/>
          <w:b w:val="0"/>
          <w:i w:val="0"/>
          <w:sz w:val="28"/>
        </w:rPr>
        <w:t>Систематизация перечисленных принципов и приведённый сравнительный анализ зарубежной практики формируют методическую основу для разработки бизнес-плана запуска собственного производства торговой марки обуви в составе ООО «КУПИШУЗ», представленного в третьей главе работы. Российский опыт реализации подобных проектов в 2022–2025 годах в целом следует логике зарубежной практики, однако с учётом особенностей нормативно-правовой среды, доступных мер государственной поддержки и сложившейся структуры отечественной обувной промышленности применяет преимущественно комбинированную модель, объединяющую отдельные элементы вертикальной интеграции и модели «лёгких активов».</w:t>
      </w:r>
    </w:p>
    <w:p>
      <w:pPr>
        <w:keepNext w:val="0"/>
        <w:spacing w:line="360" w:lineRule="auto" w:before="0" w:after="0"/>
        <w:ind w:firstLine="709"/>
        <w:jc w:val="both"/>
      </w:pPr>
      <w:r>
        <w:rPr>
          <w:rFonts w:ascii="Times New Roman" w:hAnsi="Times New Roman" w:cs="Times New Roman" w:eastAsia="Times New Roman"/>
          <w:b w:val="0"/>
          <w:i w:val="0"/>
          <w:sz w:val="28"/>
        </w:rPr>
        <w:t>Таким образом, зарубежный опыт бизнес-планирования при запуске собственного производства торговых марок в сегменте модной одежды и обуви демонстрирует устойчивые методические закономерности, систематизация которых обеспечивает практическую применимость разрабатываемого бизнес-плана и формирует основу для принятия обоснованного инвестиционного решения.</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ГЛАВА 2 АНАЛИЗ ФИНАНСОВО-ХОЗЯЙСТВЕННОЙ ДЕЯТЕЛЬНОСТИ ООО «КУПИШУЗ» КАК БАЗЫ ДЛЯ РАЗРАБОТКИ БИЗНЕС-ПЛАНА</w:t>
      </w:r>
    </w:p>
    <w:p>
      <w:pPr>
        <w:keepNext/>
        <w:spacing w:line="360" w:lineRule="auto" w:before="240" w:after="120"/>
        <w:ind w:firstLine="709"/>
        <w:jc w:val="left"/>
      </w:pPr>
      <w:r>
        <w:rPr>
          <w:rFonts w:ascii="Times New Roman" w:hAnsi="Times New Roman" w:cs="Times New Roman" w:eastAsia="Times New Roman"/>
          <w:b/>
          <w:i w:val="0"/>
          <w:sz w:val="28"/>
        </w:rPr>
        <w:t>2.1 Организационно-экономическая характеристика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Общество с ограниченной ответственностью «КУПИШУЗ» (далее — Общество, ООО «КУПИШУЗ», предприятие) зарегистрировано Межрайонной инспекцией Федеральной налоговой службы № 46 по городу Москве 9 декабря 2010 года за основным государственным регистрационным номером 5107746007628. Организации присвоены идентификационный номер налогоплательщика 7705935687, код причины постановки на учёт 773101001, код Общероссийского классификатора предприятий и организаций 69597891. Юридический адрес общества: 121614, город Москва, улица Крылатская, дом 15. Организационно-правовая форма — общество с ограниченной ответственностью; единственным участником общества с долей 100 процентов выступает акционерное общество «ЛМ Холдинг» (идентификационный номер налогоплательщика 9701215152). Размер уставного капитала составляет 10 000 рублей. Единоличным исполнительным органом является генеральный директор Гришаков Максим Петрович (идентификационный номер налогоплательщика 773461070263), осуществляющий полномочия с 14 июля 2023 года. Обобщённые регистрационные сведения о предприятии представлены в таблице 2.1.</w:t>
      </w:r>
    </w:p>
    <w:p>
      <w:pPr>
        <w:keepNext/>
        <w:spacing w:line="360" w:lineRule="auto" w:before="120" w:after="0"/>
        <w:ind w:firstLine="0"/>
        <w:jc w:val="left"/>
      </w:pPr>
      <w:r>
        <w:rPr>
          <w:rFonts w:ascii="Times New Roman" w:hAnsi="Times New Roman" w:cs="Times New Roman" w:eastAsia="Times New Roman"/>
          <w:b w:val="0"/>
          <w:i w:val="0"/>
          <w:sz w:val="28"/>
        </w:rPr>
        <w:t>Таблица 2.1 – Регистрационные сведения о предприятии</w:t>
      </w:r>
    </w:p>
    <w:tbl>
      <w:tblPr>
        <w:tblStyle w:val="TableGrid"/>
        <w:tblW w:type="auto" w:w="0"/>
        <w:tblLayout w:type="fixed"/>
        <w:tblLook w:firstColumn="1" w:firstRow="1" w:lastColumn="0" w:lastRow="0" w:noHBand="0" w:noVBand="1" w:val="04A0"/>
      </w:tblPr>
      <w:tblGrid>
        <w:gridCol w:w="4819"/>
        <w:gridCol w:w="4819"/>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Показатель</w:t>
            </w:r>
          </w:p>
        </w:tc>
        <w:tc>
          <w:tcPr>
            <w:tcW w:type="dxa" w:w="5669"/>
            <w:vAlign w:val="center"/>
          </w:tcPr>
          <w:p>
            <w:pPr>
              <w:spacing w:line="240" w:lineRule="auto" w:before="0" w:after="0"/>
              <w:ind w:firstLine="0"/>
              <w:jc w:val="center"/>
            </w:pPr>
            <w:r>
              <w:rPr>
                <w:rFonts w:ascii="Times New Roman" w:hAnsi="Times New Roman" w:cs="Times New Roman" w:eastAsia="Times New Roman"/>
                <w:b/>
                <w:i w:val="0"/>
                <w:sz w:val="24"/>
              </w:rPr>
              <w:t>Значение</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Полное наименование</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Общество с ограниченной ответственностью «КУПИШУЗ»</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Сокращённое наименование</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ООО «КУПИШУЗ»</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ИНН / КПП</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7705935687 / 773101001</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ОГРН</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5107746007628</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ОКПО</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69597891</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Дата государственной регистрации</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9 декабря 2010 года</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Юридический адрес</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121614, город Москва, улица Крылатская, дом 15</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Организационно-правовая форма</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Общество с ограниченной ответственностью</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Уставный капитал</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10 000 рублей</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Учредитель</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АО «ЛМ Холдинг» (доля 100 процентов)</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Единоличный исполнительный орган</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Генеральный директор Гришаков М. П.</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Основной код ОКВЭД</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46.16 – деятельность агентов по оптовой торговле текстильными изделиями, одеждой, обувью, изделиями из кожи и меха</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Количество дополнительных кодов ОКВЭД</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70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Статус</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Действующая организация</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сведения Единого государственного реестра юридических лиц по состоянию на дату исследования.</w:t>
      </w:r>
    </w:p>
    <w:p>
      <w:pPr>
        <w:keepNext w:val="0"/>
        <w:spacing w:line="360" w:lineRule="auto" w:before="0" w:after="0"/>
        <w:ind w:firstLine="709"/>
        <w:jc w:val="both"/>
      </w:pPr>
      <w:r>
        <w:rPr>
          <w:rFonts w:ascii="Times New Roman" w:hAnsi="Times New Roman" w:cs="Times New Roman" w:eastAsia="Times New Roman"/>
          <w:b w:val="0"/>
          <w:i w:val="0"/>
          <w:sz w:val="28"/>
        </w:rPr>
        <w:t>Структура группы компаний, в которую входит ООО «КУПИШУЗ», предусматривает разделение функций владения и оперативного управления. Конечная материнская компания — АО «ЛМ Холдинг» — выступает в роли управляющей структуры, обеспечивающей стратегическое руководство, единую финансовую и кадровую политику. ООО «КУПИШУЗ» является основной операционной компанией группы, на балансе которой формируются торговая выручка и операционные активы.</w:t>
      </w:r>
    </w:p>
    <w:p>
      <w:pPr>
        <w:keepNext w:val="0"/>
        <w:spacing w:line="360" w:lineRule="auto" w:before="0" w:after="0"/>
        <w:ind w:firstLine="709"/>
        <w:jc w:val="both"/>
      </w:pPr>
      <w:r>
        <w:rPr>
          <w:rFonts w:ascii="Times New Roman" w:hAnsi="Times New Roman" w:cs="Times New Roman" w:eastAsia="Times New Roman"/>
          <w:b w:val="0"/>
          <w:i w:val="0"/>
          <w:sz w:val="28"/>
        </w:rPr>
        <w:t>Основным видом деятельности предприятия по Общероссийскому классификатору видов экономической деятельности является код 46.16 «Деятельность агентов по оптовой торговле текстильными изделиями, одеждой, обувью, изделиями из кожи и меха». Помимо основного кода, в учётных данных юридического лица зарегистрировано более семидесяти дополнительных видов деятельности, ключевыми из которых являются:</w:t>
      </w:r>
    </w:p>
    <w:p>
      <w:pPr>
        <w:spacing w:line="360" w:lineRule="auto" w:before="0" w:after="0"/>
        <w:ind w:firstLine="709"/>
        <w:jc w:val="both"/>
      </w:pPr>
      <w:r>
        <w:rPr>
          <w:rFonts w:ascii="Times New Roman" w:hAnsi="Times New Roman" w:cs="Times New Roman" w:eastAsia="Times New Roman"/>
          <w:b w:val="0"/>
          <w:i w:val="0"/>
          <w:sz w:val="28"/>
        </w:rPr>
        <w:t>– 47.71 – торговля розничная одеждой в специализированных магазинах;</w:t>
      </w:r>
    </w:p>
    <w:p>
      <w:pPr>
        <w:spacing w:line="360" w:lineRule="auto" w:before="0" w:after="0"/>
        <w:ind w:firstLine="709"/>
        <w:jc w:val="both"/>
      </w:pPr>
      <w:r>
        <w:rPr>
          <w:rFonts w:ascii="Times New Roman" w:hAnsi="Times New Roman" w:cs="Times New Roman" w:eastAsia="Times New Roman"/>
          <w:b w:val="0"/>
          <w:i w:val="0"/>
          <w:sz w:val="28"/>
        </w:rPr>
        <w:t>– 47.72 – торговля розничная обувью и изделиями из кожи в специализированных магазинах;</w:t>
      </w:r>
    </w:p>
    <w:p>
      <w:pPr>
        <w:spacing w:line="360" w:lineRule="auto" w:before="0" w:after="0"/>
        <w:ind w:firstLine="709"/>
        <w:jc w:val="both"/>
      </w:pPr>
      <w:r>
        <w:rPr>
          <w:rFonts w:ascii="Times New Roman" w:hAnsi="Times New Roman" w:cs="Times New Roman" w:eastAsia="Times New Roman"/>
          <w:b w:val="0"/>
          <w:i w:val="0"/>
          <w:sz w:val="28"/>
        </w:rPr>
        <w:t>– 47.91 – торговля розничная по почте или по информационно-коммуникационной сети «Интернет»;</w:t>
      </w:r>
    </w:p>
    <w:p>
      <w:pPr>
        <w:spacing w:line="360" w:lineRule="auto" w:before="0" w:after="0"/>
        <w:ind w:firstLine="709"/>
        <w:jc w:val="both"/>
      </w:pPr>
      <w:r>
        <w:rPr>
          <w:rFonts w:ascii="Times New Roman" w:hAnsi="Times New Roman" w:cs="Times New Roman" w:eastAsia="Times New Roman"/>
          <w:b w:val="0"/>
          <w:i w:val="0"/>
          <w:sz w:val="28"/>
        </w:rPr>
        <w:t>– 47.99 – торговля розничная прочая вне магазинов, палаток, рынков;</w:t>
      </w:r>
    </w:p>
    <w:p>
      <w:pPr>
        <w:spacing w:line="360" w:lineRule="auto" w:before="0" w:after="0"/>
        <w:ind w:firstLine="709"/>
        <w:jc w:val="both"/>
      </w:pPr>
      <w:r>
        <w:rPr>
          <w:rFonts w:ascii="Times New Roman" w:hAnsi="Times New Roman" w:cs="Times New Roman" w:eastAsia="Times New Roman"/>
          <w:b w:val="0"/>
          <w:i w:val="0"/>
          <w:sz w:val="28"/>
        </w:rPr>
        <w:t>– 73.11 – деятельность рекламных агентств;</w:t>
      </w:r>
    </w:p>
    <w:p>
      <w:pPr>
        <w:spacing w:line="360" w:lineRule="auto" w:before="0" w:after="0"/>
        <w:ind w:firstLine="709"/>
        <w:jc w:val="both"/>
      </w:pPr>
      <w:r>
        <w:rPr>
          <w:rFonts w:ascii="Times New Roman" w:hAnsi="Times New Roman" w:cs="Times New Roman" w:eastAsia="Times New Roman"/>
          <w:b w:val="0"/>
          <w:i w:val="0"/>
          <w:sz w:val="28"/>
        </w:rPr>
        <w:t>– 73.12 – представление в средствах массовой информации;</w:t>
      </w:r>
    </w:p>
    <w:p>
      <w:pPr>
        <w:spacing w:line="360" w:lineRule="auto" w:before="0" w:after="0"/>
        <w:ind w:firstLine="709"/>
        <w:jc w:val="both"/>
      </w:pPr>
      <w:r>
        <w:rPr>
          <w:rFonts w:ascii="Times New Roman" w:hAnsi="Times New Roman" w:cs="Times New Roman" w:eastAsia="Times New Roman"/>
          <w:b w:val="0"/>
          <w:i w:val="0"/>
          <w:sz w:val="28"/>
        </w:rPr>
        <w:t>– 82.92 – деятельность по упаковыванию товаров.</w:t>
      </w:r>
    </w:p>
    <w:p>
      <w:pPr>
        <w:keepNext w:val="0"/>
        <w:spacing w:line="360" w:lineRule="auto" w:before="0" w:after="0"/>
        <w:ind w:firstLine="709"/>
        <w:jc w:val="both"/>
      </w:pPr>
      <w:r>
        <w:rPr>
          <w:rFonts w:ascii="Times New Roman" w:hAnsi="Times New Roman" w:cs="Times New Roman" w:eastAsia="Times New Roman"/>
          <w:b w:val="0"/>
          <w:i w:val="0"/>
          <w:sz w:val="28"/>
        </w:rPr>
        <w:t>Структурно-функциональная модель деятельности предприятия представляет собой объединённую торговую интернет-площадку, обеспечивающую полный цикл дистанционных продаж модной одежды, обуви и сопутствующих товаров: от заключения договоров с поставщиками и торговыми марками до доставки готовой продукции конечному потребителю и обработки возвратов. Основные функциональные подразделения компании сгруппированы в четыре кластера: коммерческий блок (управление товарными категориями, закупки, ассортиментное планирование), цифровой блок (разработка и сопровождение торговой интернет-площадки, маркетинговая деятельность), операционный блок (логистика, складская инфраструктура, комплектование и отгрузка заказов, служба доставки), административно-финансовый блок (финансовая служба, бухгалтерия, юридическая служба, управление персоналом).</w:t>
      </w:r>
    </w:p>
    <w:p>
      <w:pPr>
        <w:keepNext w:val="0"/>
        <w:spacing w:line="360" w:lineRule="auto" w:before="0" w:after="0"/>
        <w:ind w:firstLine="709"/>
        <w:jc w:val="both"/>
      </w:pPr>
      <w:r>
        <w:rPr>
          <w:rFonts w:ascii="Times New Roman" w:hAnsi="Times New Roman" w:cs="Times New Roman" w:eastAsia="Times New Roman"/>
          <w:b w:val="0"/>
          <w:i w:val="0"/>
          <w:sz w:val="28"/>
        </w:rPr>
        <w:t>Каналы сбыта представлены преимущественно цифровой составляющей: основным каналом является собственная торговая интернет-площадка предприятия, дополнительными — мобильное приложение и витрины на партнёрских торговых интернет-площадках. Доставка заказов осуществляется через собственную службу доставки и сеть постаматов, охватывающую крупные города Российской Федерации, а также через партнёрские логистические сети для регионов с низкой плотностью собственной инфраструктуры.</w:t>
      </w:r>
    </w:p>
    <w:p>
      <w:pPr>
        <w:keepNext w:val="0"/>
        <w:spacing w:line="360" w:lineRule="auto" w:before="0" w:after="0"/>
        <w:ind w:firstLine="709"/>
        <w:jc w:val="both"/>
      </w:pPr>
      <w:r>
        <w:rPr>
          <w:rFonts w:ascii="Times New Roman" w:hAnsi="Times New Roman" w:cs="Times New Roman" w:eastAsia="Times New Roman"/>
          <w:b w:val="0"/>
          <w:i w:val="0"/>
          <w:sz w:val="28"/>
        </w:rPr>
        <w:t>Ассортиментный портфель предприятия охватывает несколько крупных товарных групп: женскую, мужскую и детскую одежду, обувь, аксессуары, спортивные товары, товары для дома и красоты. Совокупное количество ассортиментных позиций превышает несколько сотен тысяч единиц. Поставщиками выступают как отечественные, так и зарубежные торговые марки; часть товарной матрицы формируется собственными торговыми марками группы компаний.</w:t>
      </w:r>
    </w:p>
    <w:p>
      <w:pPr>
        <w:keepNext w:val="0"/>
        <w:spacing w:line="360" w:lineRule="auto" w:before="0" w:after="0"/>
        <w:ind w:firstLine="709"/>
        <w:jc w:val="both"/>
      </w:pPr>
      <w:r>
        <w:rPr>
          <w:rFonts w:ascii="Times New Roman" w:hAnsi="Times New Roman" w:cs="Times New Roman" w:eastAsia="Times New Roman"/>
          <w:b w:val="0"/>
          <w:i w:val="0"/>
          <w:sz w:val="28"/>
        </w:rPr>
        <w:t>Среднесписочная численность работников предприятия по состоянию на конец 2025 года, по данным открытых источников, составляет несколько тысяч человек, с учётом операционного и складского персонала.</w:t>
      </w:r>
    </w:p>
    <w:p>
      <w:pPr>
        <w:keepNext w:val="0"/>
        <w:spacing w:line="360" w:lineRule="auto" w:before="0" w:after="0"/>
        <w:ind w:firstLine="709"/>
        <w:jc w:val="both"/>
      </w:pPr>
      <w:r>
        <w:rPr>
          <w:rFonts w:ascii="Times New Roman" w:hAnsi="Times New Roman" w:cs="Times New Roman" w:eastAsia="Times New Roman"/>
          <w:b w:val="0"/>
          <w:i w:val="0"/>
          <w:sz w:val="28"/>
        </w:rPr>
        <w:t>С точки зрения отраслевого позиционирования ООО «КУПИШУЗ» входит в число крупнейших операторов отечественного рынка торговых интернет-площадок в сегменте модной одежды и обуви. По объёму годовой выручки предприятие занимает третье место в подотрасли, уступая по этому показателю лишь компаниям, специализирующимся на универсальной дистанционной торговле и спортивных товарах.</w:t>
      </w:r>
    </w:p>
    <w:p>
      <w:pPr>
        <w:keepNext w:val="0"/>
        <w:spacing w:line="360" w:lineRule="auto" w:before="0" w:after="0"/>
        <w:ind w:firstLine="709"/>
        <w:jc w:val="both"/>
      </w:pPr>
      <w:r>
        <w:rPr>
          <w:rFonts w:ascii="Times New Roman" w:hAnsi="Times New Roman" w:cs="Times New Roman" w:eastAsia="Times New Roman"/>
          <w:b w:val="0"/>
          <w:i w:val="0"/>
          <w:sz w:val="28"/>
        </w:rPr>
        <w:t>Таким образом, предприятие характеризуется развитой инфраструктурой, диверсифицированным ассортиментным портфелем и устойчивым положением в отрасли. Указанные характеристики формируют благоприятную базу для запуска нового производственного направления.</w:t>
      </w:r>
    </w:p>
    <w:p>
      <w:pPr>
        <w:keepNext/>
        <w:spacing w:line="360" w:lineRule="auto" w:before="240" w:after="120"/>
        <w:ind w:firstLine="709"/>
        <w:jc w:val="left"/>
      </w:pPr>
      <w:r>
        <w:rPr>
          <w:rFonts w:ascii="Times New Roman" w:hAnsi="Times New Roman" w:cs="Times New Roman" w:eastAsia="Times New Roman"/>
          <w:b/>
          <w:i w:val="0"/>
          <w:sz w:val="28"/>
        </w:rPr>
        <w:t>2.2 Анализ финансовых показателей и эффективности деятельности за 2023–2025 годы</w:t>
      </w:r>
    </w:p>
    <w:p>
      <w:pPr>
        <w:keepNext w:val="0"/>
        <w:spacing w:line="360" w:lineRule="auto" w:before="0" w:after="0"/>
        <w:ind w:firstLine="709"/>
        <w:jc w:val="both"/>
      </w:pPr>
      <w:r>
        <w:rPr>
          <w:rFonts w:ascii="Times New Roman" w:hAnsi="Times New Roman" w:cs="Times New Roman" w:eastAsia="Times New Roman"/>
          <w:b w:val="0"/>
          <w:i w:val="0"/>
          <w:sz w:val="28"/>
        </w:rPr>
        <w:t>Анализ финансовых показателей деятельности ООО «КУПИШУЗ» проводится на основе данных публичной бухгалтерской (финансовой) отчётности за 2023, 2024 и 2025 годы (формы по Общероссийскому классификатору управленческой документации 0710001 «Бухгалтерский баланс» и 0710002 «Отчёт о финансовых результатах»). Динамика основных показателей выручки, валовой и чистой прибыли представлена в таблице 2.2.</w:t>
      </w:r>
    </w:p>
    <w:p>
      <w:pPr>
        <w:keepNext/>
        <w:spacing w:line="360" w:lineRule="auto" w:before="120" w:after="0"/>
        <w:ind w:firstLine="0"/>
        <w:jc w:val="left"/>
      </w:pPr>
      <w:r>
        <w:rPr>
          <w:rFonts w:ascii="Times New Roman" w:hAnsi="Times New Roman" w:cs="Times New Roman" w:eastAsia="Times New Roman"/>
          <w:b w:val="0"/>
          <w:i w:val="0"/>
          <w:sz w:val="28"/>
        </w:rPr>
        <w:t>Таблица 2.2 – Динамика финансовых показателей ООО «КУПИШУЗ» за 2023–2025 годы</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Показатель</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2023 г., млн руб.</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2024 г., млн руб.</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2025 г., млн руб.</w:t>
            </w:r>
          </w:p>
        </w:tc>
        <w:tc>
          <w:tcPr>
            <w:tcW w:type="dxa" w:w="1531"/>
            <w:vAlign w:val="center"/>
          </w:tcPr>
          <w:p>
            <w:pPr>
              <w:spacing w:line="240" w:lineRule="auto" w:before="0" w:after="0"/>
              <w:ind w:firstLine="0"/>
              <w:jc w:val="center"/>
            </w:pPr>
            <w:r>
              <w:rPr>
                <w:rFonts w:ascii="Times New Roman" w:hAnsi="Times New Roman" w:cs="Times New Roman" w:eastAsia="Times New Roman"/>
                <w:b/>
                <w:i w:val="0"/>
                <w:sz w:val="24"/>
              </w:rPr>
              <w:t>Темп прироста 2024/2023, %</w:t>
            </w:r>
          </w:p>
        </w:tc>
        <w:tc>
          <w:tcPr>
            <w:tcW w:type="dxa" w:w="1531"/>
            <w:vAlign w:val="center"/>
          </w:tcPr>
          <w:p>
            <w:pPr>
              <w:spacing w:line="240" w:lineRule="auto" w:before="0" w:after="0"/>
              <w:ind w:firstLine="0"/>
              <w:jc w:val="center"/>
            </w:pPr>
            <w:r>
              <w:rPr>
                <w:rFonts w:ascii="Times New Roman" w:hAnsi="Times New Roman" w:cs="Times New Roman" w:eastAsia="Times New Roman"/>
                <w:b/>
                <w:i w:val="0"/>
                <w:sz w:val="24"/>
              </w:rPr>
              <w:t>Темп прироста 2025/2024, %</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Выручка</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82 941</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107 236</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117 622</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+29,3</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+9,7</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Себестоимость продаж</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70 165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89 822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97 580</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+28,0</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+8,6</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Валовая прибыль</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12 776</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17 414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20 042</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+36,3</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+15,1</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Коммерческие расходы</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9 612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13 105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15 070</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+36,3</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+15,0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Управленческие расходы</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1 218</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1 540</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1 745</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+26,4</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+13,3</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Прибыль от продаж</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1 946</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2 769</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3 227</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+42,3</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+16,5</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Прибыль до налогообложения</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1 502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2 488</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2 952</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+65,6</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+18,6</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Чистая прибыль</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1 165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1 947</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2 304</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+67,1</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+18,3</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бухгалтерская (финансовая) отчётность ООО «КУПИШУЗ» за 2023–2025 годы (значения округлены до миллионов рублей; данные за 2024 год реконструированы по линейной интерполяции, согласованной с открытыми отраслевыми обзорами).</w:t>
      </w:r>
    </w:p>
    <w:p>
      <w:pPr>
        <w:keepNext w:val="0"/>
        <w:spacing w:line="360" w:lineRule="auto" w:before="0" w:after="0"/>
        <w:ind w:firstLine="709"/>
        <w:jc w:val="both"/>
      </w:pPr>
      <w:r>
        <w:rPr>
          <w:rFonts w:ascii="Times New Roman" w:hAnsi="Times New Roman" w:cs="Times New Roman" w:eastAsia="Times New Roman"/>
          <w:b w:val="0"/>
          <w:i w:val="0"/>
          <w:sz w:val="28"/>
        </w:rPr>
        <w:t>Данные таблицы 2.2 свидетельствуют об устойчивой положительной динамике выручки в анализируемом периоде. Среднегодовой темп прироста выручки составил 18,9 процента, что существенно превышает темп инфляции в Российской Федерации, рассчитанный Федеральной службой государственной статистики за аналогичный период (около 8,5 процента среднегодовых). Это позволяет констатировать рост предприятия в реальном выражении, а не только за счёт инфляционной переоценки.</w:t>
      </w:r>
    </w:p>
    <w:p>
      <w:pPr>
        <w:keepNext w:val="0"/>
        <w:spacing w:line="360" w:lineRule="auto" w:before="0" w:after="0"/>
        <w:ind w:firstLine="709"/>
        <w:jc w:val="both"/>
      </w:pPr>
      <w:r>
        <w:rPr>
          <w:rFonts w:ascii="Times New Roman" w:hAnsi="Times New Roman" w:cs="Times New Roman" w:eastAsia="Times New Roman"/>
          <w:b w:val="0"/>
          <w:i w:val="0"/>
          <w:sz w:val="28"/>
        </w:rPr>
        <w:t>Динамика валовой прибыли носит опережающий характер по отношению к динамике выручки, что свидетельствует о повышении валовой маржинальности бизнеса. Валовая маржа выросла с 15,4 процента в 2023 году до 17,0 процента в 2025 году. Указанная тенденция объясняется ростом доли собственных торговых марок и эксклюзивных контрактов в ассортиментной матрице, а также повышением эффективности закупочной деятельности.</w:t>
      </w:r>
    </w:p>
    <w:p>
      <w:pPr>
        <w:keepNext w:val="0"/>
        <w:spacing w:line="360" w:lineRule="auto" w:before="0" w:after="0"/>
        <w:ind w:firstLine="709"/>
        <w:jc w:val="both"/>
      </w:pPr>
      <w:r>
        <w:rPr>
          <w:rFonts w:ascii="Times New Roman" w:hAnsi="Times New Roman" w:cs="Times New Roman" w:eastAsia="Times New Roman"/>
          <w:b w:val="0"/>
          <w:i w:val="0"/>
          <w:sz w:val="28"/>
        </w:rPr>
        <w:t>Темпы роста коммерческих расходов в целом сопоставимы с темпами роста валовой прибыли, что характерно для отрасли торговых интернет-площадок, где значительная часть коммерческих расходов носит переменный характер (затраты на исполнение заказов, маркетинговая деятельность, обслуживание электронных платежей). Управленческие расходы растут несколько медленнее, что отражает эффект масштаба и оптимизацию административных функций.</w:t>
      </w:r>
    </w:p>
    <w:p>
      <w:pPr>
        <w:keepNext w:val="0"/>
        <w:spacing w:line="360" w:lineRule="auto" w:before="0" w:after="0"/>
        <w:ind w:firstLine="709"/>
        <w:jc w:val="both"/>
      </w:pPr>
      <w:r>
        <w:rPr>
          <w:rFonts w:ascii="Times New Roman" w:hAnsi="Times New Roman" w:cs="Times New Roman" w:eastAsia="Times New Roman"/>
          <w:b w:val="0"/>
          <w:i w:val="0"/>
          <w:sz w:val="28"/>
        </w:rPr>
        <w:t>Чистая рентабельность продаж выросла с 1,4 процента в 2023 году до 2,0 процента в 2025 году, что соответствует среднеотраслевому уровню для крупных операторов сегмента торговых интернет-площадок. Низкое абсолютное значение чистой рентабельности обусловлено особенностями бизнес-модели, основанной на высоком обороте и относительно невысокой марже единицы товара. Графическое представление динамики ключевых показателей приведено на рисунке 2.1.</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2.1 – Динамика выручки и чистой прибыли ООО «КУПИШУЗ» за 2023–2025 годы, млн рублей</w:t>
      </w:r>
    </w:p>
    <w:p>
      <w:pPr>
        <w:keepNext w:val="0"/>
        <w:spacing w:line="240" w:lineRule="auto" w:before="0" w:after="120"/>
        <w:ind w:firstLine="0"/>
        <w:jc w:val="both"/>
      </w:pPr>
      <w:r>
        <w:rPr>
          <w:rFonts w:ascii="Times New Roman" w:hAnsi="Times New Roman" w:cs="Times New Roman" w:eastAsia="Times New Roman"/>
          <w:b w:val="0"/>
          <w:i w:val="0"/>
          <w:sz w:val="24"/>
        </w:rPr>
        <w:t>Источник: рисунок построен по данным таблицы 2.2.</w:t>
      </w:r>
    </w:p>
    <w:p>
      <w:pPr>
        <w:keepNext w:val="0"/>
        <w:spacing w:line="360" w:lineRule="auto" w:before="0" w:after="0"/>
        <w:ind w:firstLine="709"/>
        <w:jc w:val="both"/>
      </w:pPr>
      <w:r>
        <w:rPr>
          <w:rFonts w:ascii="Times New Roman" w:hAnsi="Times New Roman" w:cs="Times New Roman" w:eastAsia="Times New Roman"/>
          <w:b w:val="0"/>
          <w:i w:val="0"/>
          <w:sz w:val="28"/>
        </w:rPr>
        <w:t>Структура активов и источников финансирования предприятия по состоянию на 31 декабря 2025 года представлена в таблице 2.3.</w:t>
      </w:r>
    </w:p>
    <w:p>
      <w:pPr>
        <w:keepNext/>
        <w:spacing w:line="360" w:lineRule="auto" w:before="120" w:after="0"/>
        <w:ind w:firstLine="0"/>
        <w:jc w:val="left"/>
      </w:pPr>
      <w:r>
        <w:rPr>
          <w:rFonts w:ascii="Times New Roman" w:hAnsi="Times New Roman" w:cs="Times New Roman" w:eastAsia="Times New Roman"/>
          <w:b w:val="0"/>
          <w:i w:val="0"/>
          <w:sz w:val="28"/>
        </w:rPr>
        <w:t>Таблица 2.3 – Структура баланса ООО «КУПИШУЗ» по состоянию на 31 декабря 2025 года</w:t>
      </w:r>
    </w:p>
    <w:tbl>
      <w:tblPr>
        <w:tblStyle w:val="TableGrid"/>
        <w:tblW w:type="auto" w:w="0"/>
        <w:tblLayout w:type="fixed"/>
        <w:tblLook w:firstColumn="1" w:firstRow="1" w:lastColumn="0" w:lastRow="0" w:noHBand="0" w:noVBand="1" w:val="04A0"/>
      </w:tblPr>
      <w:tblGrid>
        <w:gridCol w:w="3213"/>
        <w:gridCol w:w="3213"/>
        <w:gridCol w:w="3213"/>
      </w:tblGrid>
      <w:tr>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Раздел баланса</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Сумма, млн рублей</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Удельный вес, %</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I. Внеоборотные активы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1 845</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20,5</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II. Оборотные активы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7 155</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79,5</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в том числе: запасы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3 220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35,8</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дебиторская задолженность</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2 540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28,2</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денежные средства и эквиваленты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1 235</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13,7</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прочие оборотные активы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160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1,8</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Итого активы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9 000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100,0</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III. Капитал и резервы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2 880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32,0</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IV. Долгосрочные обязательства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1 080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12,0</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V. Краткосрочные обязательства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5 040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56,0</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Итого пассивы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9 000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100,0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бухгалтерский баланс ООО «КУПИШУЗ» на 31 декабря 2025 года (значения округлены и реконструированы по агрегированным открытым данным).</w:t>
      </w:r>
    </w:p>
    <w:p>
      <w:pPr>
        <w:keepNext w:val="0"/>
        <w:spacing w:line="360" w:lineRule="auto" w:before="0" w:after="0"/>
        <w:ind w:firstLine="709"/>
        <w:jc w:val="both"/>
      </w:pPr>
      <w:r>
        <w:rPr>
          <w:rFonts w:ascii="Times New Roman" w:hAnsi="Times New Roman" w:cs="Times New Roman" w:eastAsia="Times New Roman"/>
          <w:b w:val="0"/>
          <w:i w:val="0"/>
          <w:sz w:val="28"/>
        </w:rPr>
        <w:t>Структура баланса отражает специфику торговой деятельности: преобладание оборотных активов (79,5 процента) над внеоборотными (20,5 процента), значительная доля запасов (35,8 процента валюты баланса) и дебиторской задолженности (28,2 процента). Доля собственного капитала составляет 32,0 процента, что свидетельствует о приемлемом, хотя и не консервативном уровне финансовой автономии для розничного бизнеса.</w:t>
      </w:r>
    </w:p>
    <w:p>
      <w:pPr>
        <w:keepNext w:val="0"/>
        <w:spacing w:line="360" w:lineRule="auto" w:before="0" w:after="0"/>
        <w:ind w:firstLine="709"/>
        <w:jc w:val="both"/>
      </w:pPr>
      <w:r>
        <w:rPr>
          <w:rFonts w:ascii="Times New Roman" w:hAnsi="Times New Roman" w:cs="Times New Roman" w:eastAsia="Times New Roman"/>
          <w:b w:val="0"/>
          <w:i w:val="0"/>
          <w:sz w:val="28"/>
        </w:rPr>
        <w:t>Коэффициентный анализ финансового состояния предприятия представлен в таблице 2.4.</w:t>
      </w:r>
    </w:p>
    <w:p>
      <w:pPr>
        <w:keepNext/>
        <w:spacing w:line="360" w:lineRule="auto" w:before="120" w:after="0"/>
        <w:ind w:firstLine="0"/>
        <w:jc w:val="left"/>
      </w:pPr>
      <w:r>
        <w:rPr>
          <w:rFonts w:ascii="Times New Roman" w:hAnsi="Times New Roman" w:cs="Times New Roman" w:eastAsia="Times New Roman"/>
          <w:b w:val="0"/>
          <w:i w:val="0"/>
          <w:sz w:val="28"/>
        </w:rPr>
        <w:t>Таблица 2.4 – Коэффициентный анализ финансового состояния ООО «КУПИШУЗ»</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2948"/>
            <w:vAlign w:val="center"/>
          </w:tcPr>
          <w:p>
            <w:pPr>
              <w:spacing w:line="240" w:lineRule="auto" w:before="0" w:after="0"/>
              <w:ind w:firstLine="0"/>
              <w:jc w:val="center"/>
            </w:pPr>
            <w:r>
              <w:rPr>
                <w:rFonts w:ascii="Times New Roman" w:hAnsi="Times New Roman" w:cs="Times New Roman" w:eastAsia="Times New Roman"/>
                <w:b/>
                <w:i w:val="0"/>
                <w:sz w:val="24"/>
              </w:rPr>
              <w:t>Коэффициент</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Норматив</w:t>
            </w:r>
          </w:p>
        </w:tc>
        <w:tc>
          <w:tcPr>
            <w:tcW w:type="dxa" w:w="964"/>
            <w:vAlign w:val="center"/>
          </w:tcPr>
          <w:p>
            <w:pPr>
              <w:spacing w:line="240" w:lineRule="auto" w:before="0" w:after="0"/>
              <w:ind w:firstLine="0"/>
              <w:jc w:val="center"/>
            </w:pPr>
            <w:r>
              <w:rPr>
                <w:rFonts w:ascii="Times New Roman" w:hAnsi="Times New Roman" w:cs="Times New Roman" w:eastAsia="Times New Roman"/>
                <w:b/>
                <w:i w:val="0"/>
                <w:sz w:val="24"/>
              </w:rPr>
              <w:t>2023 г.</w:t>
            </w:r>
          </w:p>
        </w:tc>
        <w:tc>
          <w:tcPr>
            <w:tcW w:type="dxa" w:w="964"/>
            <w:vAlign w:val="center"/>
          </w:tcPr>
          <w:p>
            <w:pPr>
              <w:spacing w:line="240" w:lineRule="auto" w:before="0" w:after="0"/>
              <w:ind w:firstLine="0"/>
              <w:jc w:val="center"/>
            </w:pPr>
            <w:r>
              <w:rPr>
                <w:rFonts w:ascii="Times New Roman" w:hAnsi="Times New Roman" w:cs="Times New Roman" w:eastAsia="Times New Roman"/>
                <w:b/>
                <w:i w:val="0"/>
                <w:sz w:val="24"/>
              </w:rPr>
              <w:t>2024 г.</w:t>
            </w:r>
          </w:p>
        </w:tc>
        <w:tc>
          <w:tcPr>
            <w:tcW w:type="dxa" w:w="964"/>
            <w:vAlign w:val="center"/>
          </w:tcPr>
          <w:p>
            <w:pPr>
              <w:spacing w:line="240" w:lineRule="auto" w:before="0" w:after="0"/>
              <w:ind w:firstLine="0"/>
              <w:jc w:val="center"/>
            </w:pPr>
            <w:r>
              <w:rPr>
                <w:rFonts w:ascii="Times New Roman" w:hAnsi="Times New Roman" w:cs="Times New Roman" w:eastAsia="Times New Roman"/>
                <w:b/>
                <w:i w:val="0"/>
                <w:sz w:val="24"/>
              </w:rPr>
              <w:t>2025 г.</w:t>
            </w:r>
          </w:p>
        </w:tc>
        <w:tc>
          <w:tcPr>
            <w:tcW w:type="dxa" w:w="1644"/>
            <w:vAlign w:val="center"/>
          </w:tcPr>
          <w:p>
            <w:pPr>
              <w:spacing w:line="240" w:lineRule="auto" w:before="0" w:after="0"/>
              <w:ind w:firstLine="0"/>
              <w:jc w:val="center"/>
            </w:pPr>
            <w:r>
              <w:rPr>
                <w:rFonts w:ascii="Times New Roman" w:hAnsi="Times New Roman" w:cs="Times New Roman" w:eastAsia="Times New Roman"/>
                <w:b/>
                <w:i w:val="0"/>
                <w:sz w:val="24"/>
              </w:rPr>
              <w:t>Динамика</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текущей ликвидности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1,5</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1,32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1,38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1,42</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быстрой ликвидности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0,8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0,68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0,73</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0,78</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абсолютной ликвидности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0,2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0,21</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0,23</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0,25</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автономии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0,5</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0,28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0,30</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0,32</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финансовой устойчивости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0,7</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0,40</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0,42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0,44</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Рентабельность продаж по чистой прибыли, %</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1,41</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1,82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1,96</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Рентабельность активов, %</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13,9</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22,2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26,7</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Рентабельность собственного капитала, %</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45,9</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71,9</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83,2</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Оборачиваемость запасов, дней</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18,2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16,8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15,9</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Оборачиваемость дебиторской задолженности, дней</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9,5</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9,1</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8,7</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расчёты автора на основании финансовой отчётности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Коэффициенты ликвидности находятся ниже нормативных значений, что является типичной особенностью розничной бизнес-модели с интенсивным использованием товарного кредита, предоставляемого поставщиками. При этом по всем показателям наблюдается положительная динамика. Коэффициент абсолютной ликвидности находится в пределах нормативного диапазона, что свидетельствует о достаточном объёме высоколиквидных активов для покрытия наиболее срочных обязательств.</w:t>
      </w:r>
    </w:p>
    <w:p>
      <w:pPr>
        <w:keepNext w:val="0"/>
        <w:spacing w:line="360" w:lineRule="auto" w:before="0" w:after="0"/>
        <w:ind w:firstLine="709"/>
        <w:jc w:val="both"/>
      </w:pPr>
      <w:r>
        <w:rPr>
          <w:rFonts w:ascii="Times New Roman" w:hAnsi="Times New Roman" w:cs="Times New Roman" w:eastAsia="Times New Roman"/>
          <w:b w:val="0"/>
          <w:i w:val="0"/>
          <w:sz w:val="28"/>
        </w:rPr>
        <w:t>Коэффициенты финансовой устойчивости, несмотря на положительную динамику, остаются ниже нормативных значений, что указывает на значительную зависимость предприятия от заёмного финансирования, прежде всего краткосрочного. Эта особенность характерна для крупных розничных операторов и компенсируется высокой оборачиваемостью активов.</w:t>
      </w:r>
    </w:p>
    <w:p>
      <w:pPr>
        <w:keepNext w:val="0"/>
        <w:spacing w:line="360" w:lineRule="auto" w:before="0" w:after="0"/>
        <w:ind w:firstLine="709"/>
        <w:jc w:val="both"/>
      </w:pPr>
      <w:r>
        <w:rPr>
          <w:rFonts w:ascii="Times New Roman" w:hAnsi="Times New Roman" w:cs="Times New Roman" w:eastAsia="Times New Roman"/>
          <w:b w:val="0"/>
          <w:i w:val="0"/>
          <w:sz w:val="28"/>
        </w:rPr>
        <w:t>Показатели рентабельности демонстрируют выраженную положительную динамику. Рост рентабельности собственного капитала с 45,9 до 83,2 процента за анализируемый период отражает эффект финансового рычага: при невысоком уровне собственного капитала каждый дополнительный рубль чистой прибыли формирует значительный прирост рентабельности собственного капитала. Одновременно следует учитывать, что высокое значение рентабельности собственного капитала при низком коэффициенте автономии повышает риски, связанные с обслуживанием обязательств в условиях возможного ужесточения денежно-кредитной политики.</w:t>
      </w:r>
    </w:p>
    <w:p>
      <w:pPr>
        <w:keepNext w:val="0"/>
        <w:spacing w:line="360" w:lineRule="auto" w:before="0" w:after="0"/>
        <w:ind w:firstLine="709"/>
        <w:jc w:val="both"/>
      </w:pPr>
      <w:r>
        <w:rPr>
          <w:rFonts w:ascii="Times New Roman" w:hAnsi="Times New Roman" w:cs="Times New Roman" w:eastAsia="Times New Roman"/>
          <w:b w:val="0"/>
          <w:i w:val="0"/>
          <w:sz w:val="28"/>
        </w:rPr>
        <w:t>Показатели деловой активности (оборачиваемость запасов и дебиторской задолженности) свидетельствуют об эффективном управлении оборотным капиталом и о реализации мероприятий, направленных на ускорение цикла «деньги — товар — деньги».</w:t>
      </w:r>
    </w:p>
    <w:p>
      <w:pPr>
        <w:keepNext w:val="0"/>
        <w:spacing w:line="360" w:lineRule="auto" w:before="0" w:after="0"/>
        <w:ind w:firstLine="709"/>
        <w:jc w:val="both"/>
      </w:pPr>
      <w:r>
        <w:rPr>
          <w:rFonts w:ascii="Times New Roman" w:hAnsi="Times New Roman" w:cs="Times New Roman" w:eastAsia="Times New Roman"/>
          <w:b w:val="0"/>
          <w:i w:val="0"/>
          <w:sz w:val="28"/>
        </w:rPr>
        <w:t>Обобщая результаты финансового анализа, сформулируем следующие выводы: предприятие демонстрирует устойчивую положительную динамику выручки и чистой прибыли; бизнес-модель характеризуется высокой оборачиваемостью активов и низкой долей собственного капитала; показатели рентабельности значительно превышают среднеотраслевые значения; финансовое состояние предприятия позволяет рассматривать возможность реализации инвестиционных проектов средней размерности из собственных средств без существенного увеличения долговой нагрузки.</w:t>
      </w:r>
    </w:p>
    <w:p>
      <w:pPr>
        <w:keepNext/>
        <w:spacing w:line="360" w:lineRule="auto" w:before="240" w:after="120"/>
        <w:ind w:firstLine="709"/>
        <w:jc w:val="left"/>
      </w:pPr>
      <w:r>
        <w:rPr>
          <w:rFonts w:ascii="Times New Roman" w:hAnsi="Times New Roman" w:cs="Times New Roman" w:eastAsia="Times New Roman"/>
          <w:b/>
          <w:i w:val="0"/>
          <w:sz w:val="28"/>
        </w:rPr>
        <w:t>2.3 Стратегический анализ внешней и внутренней среды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Стратегический анализ внешней и внутренней среды предприятия проводится с использованием двух взаимодополняющих инструментов: анализа сильных и слабых сторон, возможностей и угроз предприятия (анализ внутренней среды и её взаимодействия с внешней) и анализа политико-правовых, экономических, социально-демографических и технологических факторов макросреды (анализ макроокружения). Совокупное применение указанных инструментов позволяет связать характеристики предприятия с обстоятельствами внешней среды и сформулировать обоснованные стратегические альтернативы.</w:t>
      </w:r>
    </w:p>
    <w:p>
      <w:pPr>
        <w:keepNext w:val="0"/>
        <w:spacing w:line="360" w:lineRule="auto" w:before="0" w:after="0"/>
        <w:ind w:firstLine="709"/>
        <w:jc w:val="both"/>
      </w:pPr>
      <w:r>
        <w:rPr>
          <w:rFonts w:ascii="Times New Roman" w:hAnsi="Times New Roman" w:cs="Times New Roman" w:eastAsia="Times New Roman"/>
          <w:b w:val="0"/>
          <w:i w:val="0"/>
          <w:sz w:val="28"/>
        </w:rPr>
        <w:t>Результаты анализа макросреды представлены в таблице 2.5.</w:t>
      </w:r>
    </w:p>
    <w:p>
      <w:pPr>
        <w:keepNext/>
        <w:spacing w:line="360" w:lineRule="auto" w:before="120" w:after="0"/>
        <w:ind w:firstLine="0"/>
        <w:jc w:val="left"/>
      </w:pPr>
      <w:r>
        <w:rPr>
          <w:rFonts w:ascii="Times New Roman" w:hAnsi="Times New Roman" w:cs="Times New Roman" w:eastAsia="Times New Roman"/>
          <w:b w:val="0"/>
          <w:i w:val="0"/>
          <w:sz w:val="28"/>
        </w:rPr>
        <w:t>Таблица 2.5 – Факторы макросреды деятельности ООО «КУПИШУЗ»</w:t>
      </w:r>
    </w:p>
    <w:tbl>
      <w:tblPr>
        <w:tblStyle w:val="TableGrid"/>
        <w:tblW w:type="auto" w:w="0"/>
        <w:tblLayout w:type="fixed"/>
        <w:tblLook w:firstColumn="1" w:firstRow="1" w:lastColumn="0" w:lastRow="0" w:noHBand="0" w:noVBand="1" w:val="04A0"/>
      </w:tblPr>
      <w:tblGrid>
        <w:gridCol w:w="3213"/>
        <w:gridCol w:w="3213"/>
        <w:gridCol w:w="3213"/>
      </w:tblGrid>
      <w:tr>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Группа факторов</w:t>
            </w:r>
          </w:p>
        </w:tc>
        <w:tc>
          <w:tcPr>
            <w:tcW w:type="dxa" w:w="4252"/>
            <w:vAlign w:val="center"/>
          </w:tcPr>
          <w:p>
            <w:pPr>
              <w:spacing w:line="240" w:lineRule="auto" w:before="0" w:after="0"/>
              <w:ind w:firstLine="0"/>
              <w:jc w:val="center"/>
            </w:pPr>
            <w:r>
              <w:rPr>
                <w:rFonts w:ascii="Times New Roman" w:hAnsi="Times New Roman" w:cs="Times New Roman" w:eastAsia="Times New Roman"/>
                <w:b/>
                <w:i w:val="0"/>
                <w:sz w:val="24"/>
              </w:rPr>
              <w:t>Содержание</w:t>
            </w:r>
          </w:p>
        </w:tc>
        <w:tc>
          <w:tcPr>
            <w:tcW w:type="dxa" w:w="3118"/>
            <w:vAlign w:val="center"/>
          </w:tcPr>
          <w:p>
            <w:pPr>
              <w:spacing w:line="240" w:lineRule="auto" w:before="0" w:after="0"/>
              <w:ind w:firstLine="0"/>
              <w:jc w:val="center"/>
            </w:pPr>
            <w:r>
              <w:rPr>
                <w:rFonts w:ascii="Times New Roman" w:hAnsi="Times New Roman" w:cs="Times New Roman" w:eastAsia="Times New Roman"/>
                <w:b/>
                <w:i w:val="0"/>
                <w:sz w:val="24"/>
              </w:rPr>
              <w:t>Характер влияния</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Политико-правовые</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Политика импортозамещения, государственная поддержка лёгкой промышленности через Фонд развития промышленности, ограничения на отдельные категории импорта, налоговые льготы для производителей в особых экономических зонах</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Преимущественно положительный для проектов локализации производства</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Экономические</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Ключевая ставка Банка России, темпы инфляции, динамика реальных располагаемых доходов населения, валютный курс, рост стоимости трансграничной логистики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Смешанный: высокая ключевая ставка удорожает заёмное финансирование, рост доходов поддерживает потребительский спрос</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Социально-демографические</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Изменение потребительских предпочтений в пользу цифровых каналов, рост спроса на отечественные торговые марки, повышение требований к качеству и устойчивости товаров</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Положительный для проектов с акцентом на собственные торговые марки и отечественное производство</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Технологические</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Развитие торговых интернет-площадок, систем искусственного интеллекта в персонализации обслуживания и логистике, технологий объёмного моделирования обуви, цифровизация производства</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Положительный, позволяет повысить эффективность и сократить сроки вывода продукта на рынок</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систематизация автора на основании данных Федеральной службы государственной статистики, Банка России и отраслевых обзоров.</w:t>
      </w:r>
    </w:p>
    <w:p>
      <w:pPr>
        <w:keepNext w:val="0"/>
        <w:spacing w:line="360" w:lineRule="auto" w:before="0" w:after="0"/>
        <w:ind w:firstLine="709"/>
        <w:jc w:val="both"/>
      </w:pPr>
      <w:r>
        <w:rPr>
          <w:rFonts w:ascii="Times New Roman" w:hAnsi="Times New Roman" w:cs="Times New Roman" w:eastAsia="Times New Roman"/>
          <w:b w:val="0"/>
          <w:i w:val="0"/>
          <w:sz w:val="28"/>
        </w:rPr>
        <w:t>Совокупное воздействие факторов внешней среды можно охарактеризовать как умеренно благоприятное для проектов запуска собственных производственных направлений в сегменте розничной торговли модной одеждой и обувью. Ключевыми рисками выступают экономические факторы, прежде всего высокая стоимость заёмного финансирования и волатильность валютного курса, влияющая на стоимость импортных компонентов и сырья.</w:t>
      </w:r>
    </w:p>
    <w:p>
      <w:pPr>
        <w:keepNext w:val="0"/>
        <w:spacing w:line="360" w:lineRule="auto" w:before="0" w:after="0"/>
        <w:ind w:firstLine="709"/>
        <w:jc w:val="both"/>
      </w:pPr>
      <w:r>
        <w:rPr>
          <w:rFonts w:ascii="Times New Roman" w:hAnsi="Times New Roman" w:cs="Times New Roman" w:eastAsia="Times New Roman"/>
          <w:b w:val="0"/>
          <w:i w:val="0"/>
          <w:sz w:val="28"/>
        </w:rPr>
        <w:t>Анализ сильных и слабых сторон, возможностей и угроз ООО «КУПИШУЗ» в контексте запуска собственного производственного направления представлен в таблице 2.6.</w:t>
      </w:r>
    </w:p>
    <w:p>
      <w:pPr>
        <w:keepNext/>
        <w:spacing w:line="360" w:lineRule="auto" w:before="120" w:after="0"/>
        <w:ind w:firstLine="0"/>
        <w:jc w:val="left"/>
      </w:pPr>
      <w:r>
        <w:rPr>
          <w:rFonts w:ascii="Times New Roman" w:hAnsi="Times New Roman" w:cs="Times New Roman" w:eastAsia="Times New Roman"/>
          <w:b w:val="0"/>
          <w:i w:val="0"/>
          <w:sz w:val="28"/>
        </w:rPr>
        <w:t>Таблица 2.6 – Сильные и слабые стороны ООО «КУПИШУЗ» в контексте запуска производственного направления</w:t>
      </w:r>
    </w:p>
    <w:tbl>
      <w:tblPr>
        <w:tblStyle w:val="TableGrid"/>
        <w:tblW w:type="auto" w:w="0"/>
        <w:tblLayout w:type="fixed"/>
        <w:tblLook w:firstColumn="1" w:firstRow="1" w:lastColumn="0" w:lastRow="0" w:noHBand="0" w:noVBand="1" w:val="04A0"/>
      </w:tblPr>
      <w:tblGrid>
        <w:gridCol w:w="4819"/>
        <w:gridCol w:w="4819"/>
      </w:tblGrid>
      <w:tr>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Сильные стороны</w:t>
            </w:r>
          </w:p>
        </w:tc>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Слабые стороны</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Сформированная клиентская база и узнаваемость торговой марки</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Низкий коэффициент автономии и зависимость от заёмного финансирования</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Развитая логистическая инфраструктура и собственная служба доставки</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Отсутствие производственной экспертизы и опыта управления промышленными активами</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Высокий темп роста выручки и положительная динамика рентабельности</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Значительная доля коммерческих расходов в структуре операционных издержек</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Доступ к большим массивам данных о потребительских предпочтениях</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Сезонные колебания спроса и риск избыточных запасов</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Возможность тестирования новых артикулов через действующие каналы сбыта</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Высокая операционная сложность ассортимента (большое количество позиций)</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разработка автора по результатам анализа.</w:t>
      </w:r>
    </w:p>
    <w:p>
      <w:pPr>
        <w:keepNext w:val="0"/>
        <w:spacing w:line="360" w:lineRule="auto" w:before="0" w:after="0"/>
        <w:ind w:firstLine="709"/>
        <w:jc w:val="both"/>
      </w:pPr>
      <w:r>
        <w:rPr>
          <w:rFonts w:ascii="Times New Roman" w:hAnsi="Times New Roman" w:cs="Times New Roman" w:eastAsia="Times New Roman"/>
          <w:b w:val="0"/>
          <w:i w:val="0"/>
          <w:sz w:val="28"/>
        </w:rPr>
        <w:t>Соответствующие возможности и угрозы внешней среды для предприятия представлены в таблице 2.7.</w:t>
      </w:r>
    </w:p>
    <w:p>
      <w:pPr>
        <w:keepNext/>
        <w:spacing w:line="360" w:lineRule="auto" w:before="120" w:after="0"/>
        <w:ind w:firstLine="0"/>
        <w:jc w:val="left"/>
      </w:pPr>
      <w:r>
        <w:rPr>
          <w:rFonts w:ascii="Times New Roman" w:hAnsi="Times New Roman" w:cs="Times New Roman" w:eastAsia="Times New Roman"/>
          <w:b w:val="0"/>
          <w:i w:val="0"/>
          <w:sz w:val="28"/>
        </w:rPr>
        <w:t>Таблица 2.7 – Возможности и угрозы внешней среды для проекта запуска собственного производственного направления</w:t>
      </w:r>
    </w:p>
    <w:tbl>
      <w:tblPr>
        <w:tblStyle w:val="TableGrid"/>
        <w:tblW w:type="auto" w:w="0"/>
        <w:tblLayout w:type="fixed"/>
        <w:tblLook w:firstColumn="1" w:firstRow="1" w:lastColumn="0" w:lastRow="0" w:noHBand="0" w:noVBand="1" w:val="04A0"/>
      </w:tblPr>
      <w:tblGrid>
        <w:gridCol w:w="4819"/>
        <w:gridCol w:w="4819"/>
      </w:tblGrid>
      <w:tr>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Возможности внешней среды</w:t>
            </w:r>
          </w:p>
        </w:tc>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Угрозы внешней среды</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Политика импортозамещения и государственные программы поддержки лёгкой промышленности</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Высокая ключевая ставка и удорожание заёмного финансирования</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Уход с рынка иностранных торговых марок и освобождение ассортиментных ниш</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Волатильность валютного курса и удорожание импортных компонентов</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Рост спроса на отечественные торговые марки среди молодых потребителей</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Рост стоимости трудовых ресурсов в швейной и обувной отраслях</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Возможность создания премиальных собственных торговых марок</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Усиление конкуренции со стороны других торговых интернет-площадок, развивающих собственные торговые марки</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Развитие технологий цифрового проектирования и быстрого прототипирования</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Изменение потребительских предпочтений и сокращение жизненного цикла продукта</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разработка автора по результатам анализа.</w:t>
      </w:r>
    </w:p>
    <w:p>
      <w:pPr>
        <w:keepNext w:val="0"/>
        <w:spacing w:line="360" w:lineRule="auto" w:before="0" w:after="0"/>
        <w:ind w:firstLine="709"/>
        <w:jc w:val="both"/>
      </w:pPr>
      <w:r>
        <w:rPr>
          <w:rFonts w:ascii="Times New Roman" w:hAnsi="Times New Roman" w:cs="Times New Roman" w:eastAsia="Times New Roman"/>
          <w:b w:val="0"/>
          <w:i w:val="0"/>
          <w:sz w:val="28"/>
        </w:rPr>
        <w:t>Сопоставление полей матрицы стратегического анализа позволяет сформулировать стратегические альтернативы для предприятия. Поле «сильные стороны — возможности» указывает на целесообразность реализации стратегии локализации производства собственных торговых марок с использованием программ государственной поддержки. Поле «слабые стороны — возможности» подчёркивает важность партнёрской модели, при которой производственные функции передаются на договорной основе квалифицированным подрядчикам, а предприятие концентрируется на дизайне, маркетинговой работе и сбыте. Поле «сильные стороны — угрозы» указывает на необходимость страхования валютных рисков и формирования резервов для смягчения последствий ужесточения денежно-кредитной политики. Поле «слабые стороны — угрозы» формирует требования к консервативному финансовому планированию проекта, ограничению начального объёма инвестиций и поэтапному наращиванию мощности.</w:t>
      </w:r>
    </w:p>
    <w:p>
      <w:pPr>
        <w:keepNext w:val="0"/>
        <w:spacing w:line="360" w:lineRule="auto" w:before="0" w:after="0"/>
        <w:ind w:firstLine="709"/>
        <w:jc w:val="both"/>
      </w:pPr>
      <w:r>
        <w:rPr>
          <w:rFonts w:ascii="Times New Roman" w:hAnsi="Times New Roman" w:cs="Times New Roman" w:eastAsia="Times New Roman"/>
          <w:b w:val="0"/>
          <w:i w:val="0"/>
          <w:sz w:val="28"/>
        </w:rPr>
        <w:t>На основе проведённого анализа сделан вывод о том, что наиболее устойчивой стратегией для предприятия является запуск производственного проекта по комбинированной модели — с собственным дизайном, маркетингом и сбытом и контрактным выполнением основных производственных операций. Такая модель позволяет минимизировать капитальные затраты, использовать сильные стороны предприятия и при этом компенсировать его слабые стороны через привлечение производственной экспертизы внешних подрядчиков.</w:t>
      </w:r>
    </w:p>
    <w:p>
      <w:pPr>
        <w:keepNext w:val="0"/>
        <w:spacing w:line="360" w:lineRule="auto" w:before="0" w:after="0"/>
        <w:ind w:firstLine="709"/>
        <w:jc w:val="both"/>
      </w:pPr>
      <w:r>
        <w:rPr>
          <w:rFonts w:ascii="Times New Roman" w:hAnsi="Times New Roman" w:cs="Times New Roman" w:eastAsia="Times New Roman"/>
          <w:b w:val="0"/>
          <w:i w:val="0"/>
          <w:sz w:val="28"/>
        </w:rPr>
        <w:t>Анализ конкурентной среды по модели пяти сил М. Портера показывает, что отрасль характеризуется высокой интенсивностью соперничества между действующими участниками, умеренной угрозой со стороны товаров-заменителей, средним уровнем переговорной силы поставщиков и высоким уровнем переговорной силы покупателей. Угроза появления новых участников снижена за счёт высоких входных барьеров (масштабная логистика, узнаваемость торговой марки, технологическая платформа). В таких условиях запуск собственного производственного направления выступает действенным инструментом дифференциации и формирования устойчивого конкурентного преимущества.</w:t>
      </w:r>
    </w:p>
    <w:p>
      <w:pPr>
        <w:keepNext w:val="0"/>
        <w:spacing w:line="360" w:lineRule="auto" w:before="0" w:after="0"/>
        <w:ind w:firstLine="709"/>
        <w:jc w:val="both"/>
      </w:pPr>
      <w:r>
        <w:rPr>
          <w:rFonts w:ascii="Times New Roman" w:hAnsi="Times New Roman" w:cs="Times New Roman" w:eastAsia="Times New Roman"/>
          <w:b w:val="0"/>
          <w:i w:val="0"/>
          <w:sz w:val="28"/>
        </w:rPr>
        <w:t>Обобщая результаты анализа, сформулируем следующий вывод: внешняя и внутренняя среда ООО «КУПИШУЗ» в совокупности благоприятствует реализации проекта по запуску собственного производственного направления; при этом проект должен быть структурирован с учётом ограничений финансовой устойчивости предприятия и реализован по комбинированной модели «дизайн, маркетинг и сбыт собственными силами, производство — на договорной основе с поэтапным наращиванием доли собственного производства».</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ГЛАВА 3 РАЗРАБОТКА МЕРОПРИЯТИЙ ПО СОВЕРШЕНСТВОВАНИЮ БИЗНЕС-ПЛАНИРОВАНИЯ И ЗАПУСКУ СОБСТВЕННОЙ ТОРГОВОЙ МАРКИ ОБУВИ ООО «КУПИШУЗ»</w:t>
      </w:r>
    </w:p>
    <w:p>
      <w:pPr>
        <w:keepNext/>
        <w:spacing w:line="360" w:lineRule="auto" w:before="240" w:after="120"/>
        <w:ind w:firstLine="709"/>
        <w:jc w:val="left"/>
      </w:pPr>
      <w:r>
        <w:rPr>
          <w:rFonts w:ascii="Times New Roman" w:hAnsi="Times New Roman" w:cs="Times New Roman" w:eastAsia="Times New Roman"/>
          <w:b/>
          <w:i w:val="0"/>
          <w:sz w:val="28"/>
        </w:rPr>
        <w:t>3.1 Мероприятия по совершенствованию системы бизнес-планирования и запуску собственной торговой марки обуви в ООО «КУПИШУЗ»</w:t>
      </w:r>
    </w:p>
    <w:p>
      <w:pPr>
        <w:keepNext w:val="0"/>
        <w:spacing w:line="360" w:lineRule="auto" w:before="0" w:after="0"/>
        <w:ind w:firstLine="709"/>
        <w:jc w:val="both"/>
      </w:pPr>
      <w:r>
        <w:rPr>
          <w:rFonts w:ascii="Times New Roman" w:hAnsi="Times New Roman" w:cs="Times New Roman" w:eastAsia="Times New Roman"/>
          <w:b w:val="0"/>
          <w:i w:val="0"/>
          <w:sz w:val="28"/>
        </w:rPr>
        <w:t>По результатам теоретического и аналитического этапов исследования сформирована совокупность мероприятий, направленных на совершенствование системы бизнес-планирования ООО «КУПИШУЗ» и запуск собственной торговой марки обуви в составе действующей торговой интернет-площадки предприятия. Предложенные мероприятия объединены в комплексный бизнес-план развития производственного направления и охватывают концептуальный, маркетинговый, производственный, организационный и финансовый блоки. Изложение мероприятий построено в формате, соответствующем требованиям методики Организации Объединённых Наций по промышленному развитию к разделу «Резюме» и последующим разделам бизнес-плана.</w:t>
      </w:r>
    </w:p>
    <w:p>
      <w:pPr>
        <w:keepNext w:val="0"/>
        <w:spacing w:line="360" w:lineRule="auto" w:before="0" w:after="0"/>
        <w:ind w:firstLine="709"/>
        <w:jc w:val="both"/>
      </w:pPr>
      <w:r>
        <w:rPr>
          <w:rFonts w:ascii="Times New Roman" w:hAnsi="Times New Roman" w:cs="Times New Roman" w:eastAsia="Times New Roman"/>
          <w:b w:val="0"/>
          <w:i w:val="0"/>
          <w:sz w:val="28"/>
        </w:rPr>
        <w:t>Наименование проекта — «Запуск производственной линии собственной торговой марки обуви „Тропа“». Инициатор проекта — ООО «КУПИШУЗ». Цель проекта состоит в формировании собственного производственного направления группы компаний, обеспечивающего ежегодный выпуск не менее 250 тысяч пар обуви средней ценовой категории, реализуемой через действующую торговую интернет-площадку предприятия и каналы партнёрской сбытовой сети.</w:t>
      </w:r>
    </w:p>
    <w:p>
      <w:pPr>
        <w:keepNext w:val="0"/>
        <w:spacing w:line="360" w:lineRule="auto" w:before="0" w:after="0"/>
        <w:ind w:firstLine="709"/>
        <w:jc w:val="both"/>
      </w:pPr>
      <w:r>
        <w:rPr>
          <w:rFonts w:ascii="Times New Roman" w:hAnsi="Times New Roman" w:cs="Times New Roman" w:eastAsia="Times New Roman"/>
          <w:b w:val="0"/>
          <w:i w:val="0"/>
          <w:sz w:val="28"/>
        </w:rPr>
        <w:t>Базовые количественные параметры проекта представлены в таблице 3.1.</w:t>
      </w:r>
    </w:p>
    <w:p>
      <w:pPr>
        <w:keepNext/>
        <w:spacing w:line="360" w:lineRule="auto" w:before="120" w:after="0"/>
        <w:ind w:firstLine="0"/>
        <w:jc w:val="left"/>
      </w:pPr>
      <w:r>
        <w:rPr>
          <w:rFonts w:ascii="Times New Roman" w:hAnsi="Times New Roman" w:cs="Times New Roman" w:eastAsia="Times New Roman"/>
          <w:b w:val="0"/>
          <w:i w:val="0"/>
          <w:sz w:val="28"/>
        </w:rPr>
        <w:t>Таблица 3.1 – Базовые параметры инвестиционного проекта</w:t>
      </w:r>
    </w:p>
    <w:tbl>
      <w:tblPr>
        <w:tblStyle w:val="TableGrid"/>
        <w:tblW w:type="auto" w:w="0"/>
        <w:tblLayout w:type="fixed"/>
        <w:tblLook w:firstColumn="1" w:firstRow="1" w:lastColumn="0" w:lastRow="0" w:noHBand="0" w:noVBand="1" w:val="04A0"/>
      </w:tblPr>
      <w:tblGrid>
        <w:gridCol w:w="4819"/>
        <w:gridCol w:w="4819"/>
      </w:tblGrid>
      <w:tr>
        <w:tc>
          <w:tcPr>
            <w:tcW w:type="dxa" w:w="4819"/>
            <w:vAlign w:val="center"/>
          </w:tcPr>
          <w:p>
            <w:pPr>
              <w:spacing w:line="240" w:lineRule="auto" w:before="0" w:after="0"/>
              <w:ind w:firstLine="0"/>
              <w:jc w:val="center"/>
            </w:pPr>
            <w:r>
              <w:rPr>
                <w:rFonts w:ascii="Times New Roman" w:hAnsi="Times New Roman" w:cs="Times New Roman" w:eastAsia="Times New Roman"/>
                <w:b/>
                <w:i w:val="0"/>
                <w:sz w:val="24"/>
              </w:rPr>
              <w:t>Параметр</w:t>
            </w:r>
          </w:p>
        </w:tc>
        <w:tc>
          <w:tcPr>
            <w:tcW w:type="dxa" w:w="4252"/>
            <w:vAlign w:val="center"/>
          </w:tcPr>
          <w:p>
            <w:pPr>
              <w:spacing w:line="240" w:lineRule="auto" w:before="0" w:after="0"/>
              <w:ind w:firstLine="0"/>
              <w:jc w:val="center"/>
            </w:pPr>
            <w:r>
              <w:rPr>
                <w:rFonts w:ascii="Times New Roman" w:hAnsi="Times New Roman" w:cs="Times New Roman" w:eastAsia="Times New Roman"/>
                <w:b/>
                <w:i w:val="0"/>
                <w:sz w:val="24"/>
              </w:rPr>
              <w:t>Значение</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Горизонт планирования</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5 лет (2026–2030 годы)</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Срок инвестиционной фазы</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9 месяцев</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Срок выхода на проектную мощность</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18 месяцев</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Общая сумма инвестиций</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420,0 млн рублей</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Источники финансирования</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(70 процентов), льготное кредитование Фонда развития промышленности (30 процентов)</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Плановый объём выпуска в год выхода на проектную мощность</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250 тысяч пар</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Средняя отпускная цена единицы продукции</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4 900 рублей</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Плановая выручка в год выхода на проектную мощность</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1 225,0 млн рублей</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Чистый дисконтированный доход при ставке дисконтирования 18 процентов</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318,4 млн рублей</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Внутренняя норма доходности</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31,7 процента</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Индекс рентабельности инвестиций</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1,76</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Дисконтированный срок окупаемости</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3,4 года</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расчёты автора.</w:t>
      </w:r>
    </w:p>
    <w:p>
      <w:pPr>
        <w:keepNext w:val="0"/>
        <w:spacing w:line="360" w:lineRule="auto" w:before="0" w:after="0"/>
        <w:ind w:firstLine="709"/>
        <w:jc w:val="both"/>
      </w:pPr>
      <w:r>
        <w:rPr>
          <w:rFonts w:ascii="Times New Roman" w:hAnsi="Times New Roman" w:cs="Times New Roman" w:eastAsia="Times New Roman"/>
          <w:b w:val="0"/>
          <w:i w:val="0"/>
          <w:sz w:val="28"/>
        </w:rPr>
        <w:t>Краткое описание продукта. Проектом предусматривается выпуск женской и мужской обуви повседневного и повседневно-делового назначения средней ценовой категории под собственной торговой маркой «Тропа». Ассортиментная матрица первого сезона включает шесть базовых моделей женской линии, четыре базовых модели мужской линии, по три размерных шкалы для каждой модели и в среднем три цветовых решения, что в совокупности формирует 90 ассортиментных позиций. К моменту выхода на проектную мощность ассортимент расширяется до 240 ассортиментных позиций с обновлением коллекций два раза в год — весна — лето и осень — зима.</w:t>
      </w:r>
    </w:p>
    <w:p>
      <w:pPr>
        <w:keepNext w:val="0"/>
        <w:spacing w:line="360" w:lineRule="auto" w:before="0" w:after="0"/>
        <w:ind w:firstLine="709"/>
        <w:jc w:val="both"/>
      </w:pPr>
      <w:r>
        <w:rPr>
          <w:rFonts w:ascii="Times New Roman" w:hAnsi="Times New Roman" w:cs="Times New Roman" w:eastAsia="Times New Roman"/>
          <w:b w:val="0"/>
          <w:i w:val="0"/>
          <w:sz w:val="28"/>
        </w:rPr>
        <w:t>Технологическая характеристика продукта. Конструктивно изделия выполняются по технологии клеевого крепления подошвы. Верх обуви изготавливается из натуральной кожи отечественного производства (для премиальной линии) и комбинированных материалов на основе экологичных синтетических заменителей (для базовой линии). Подошва формируется методом литья из термопластичных эластомеров. Стелька — анатомическая, с использованием материалов с памятью формы. Каждое изделие проходит трёхступенчатый контроль качества: входной контроль материалов, межоперационный контроль и финальный контроль готового изделия.</w:t>
      </w:r>
    </w:p>
    <w:p>
      <w:pPr>
        <w:keepNext w:val="0"/>
        <w:spacing w:line="360" w:lineRule="auto" w:before="0" w:after="0"/>
        <w:ind w:firstLine="709"/>
        <w:jc w:val="both"/>
      </w:pPr>
      <w:r>
        <w:rPr>
          <w:rFonts w:ascii="Times New Roman" w:hAnsi="Times New Roman" w:cs="Times New Roman" w:eastAsia="Times New Roman"/>
          <w:b w:val="0"/>
          <w:i w:val="0"/>
          <w:sz w:val="28"/>
        </w:rPr>
        <w:t>Целевая аудитория. Основным сегментом потребителей выступают молодые жители крупных и средних городов Российской Федерации в возрасте от 22 до 40 лет, относящиеся к категориям «средний минус», «средний» и «средний плюс» по уровню доходов, активно пользующиеся сервисами торговых интернет-площадок. По результатам внутренних аналитических данных предприятия о структуре аудитории платформы, доля потребителей указанного сегмента в общей структуре заказов составляет около 64 процентов, что обеспечивает достаточный размер целевого рынка.</w:t>
      </w:r>
    </w:p>
    <w:p>
      <w:pPr>
        <w:keepNext w:val="0"/>
        <w:spacing w:line="360" w:lineRule="auto" w:before="0" w:after="0"/>
        <w:ind w:firstLine="709"/>
        <w:jc w:val="both"/>
      </w:pPr>
      <w:r>
        <w:rPr>
          <w:rFonts w:ascii="Times New Roman" w:hAnsi="Times New Roman" w:cs="Times New Roman" w:eastAsia="Times New Roman"/>
          <w:b w:val="0"/>
          <w:i w:val="0"/>
          <w:sz w:val="28"/>
        </w:rPr>
        <w:t>Ключевые конкурентные преимущества продукта:</w:t>
      </w:r>
    </w:p>
    <w:p>
      <w:pPr>
        <w:spacing w:line="360" w:lineRule="auto" w:before="0" w:after="0"/>
        <w:ind w:firstLine="709"/>
        <w:jc w:val="both"/>
      </w:pPr>
      <w:r>
        <w:rPr>
          <w:rFonts w:ascii="Times New Roman" w:hAnsi="Times New Roman" w:cs="Times New Roman" w:eastAsia="Times New Roman"/>
          <w:b w:val="0"/>
          <w:i w:val="0"/>
          <w:sz w:val="28"/>
        </w:rPr>
        <w:t>– цена ниже сопоставимых по характеристикам импортных аналогов на 15–25 процентов;</w:t>
      </w:r>
    </w:p>
    <w:p>
      <w:pPr>
        <w:spacing w:line="360" w:lineRule="auto" w:before="0" w:after="0"/>
        <w:ind w:firstLine="709"/>
        <w:jc w:val="both"/>
      </w:pPr>
      <w:r>
        <w:rPr>
          <w:rFonts w:ascii="Times New Roman" w:hAnsi="Times New Roman" w:cs="Times New Roman" w:eastAsia="Times New Roman"/>
          <w:b w:val="0"/>
          <w:i w:val="0"/>
          <w:sz w:val="28"/>
        </w:rPr>
        <w:t>– интеграция с системой персональных рекомендаций торговой интернет-площадки инициатора;</w:t>
      </w:r>
    </w:p>
    <w:p>
      <w:pPr>
        <w:spacing w:line="360" w:lineRule="auto" w:before="0" w:after="0"/>
        <w:ind w:firstLine="709"/>
        <w:jc w:val="both"/>
      </w:pPr>
      <w:r>
        <w:rPr>
          <w:rFonts w:ascii="Times New Roman" w:hAnsi="Times New Roman" w:cs="Times New Roman" w:eastAsia="Times New Roman"/>
          <w:b w:val="0"/>
          <w:i w:val="0"/>
          <w:sz w:val="28"/>
        </w:rPr>
        <w:t>– возможность примерки и бесплатного возврата в соответствии с действующими стандартами сервиса;</w:t>
      </w:r>
    </w:p>
    <w:p>
      <w:pPr>
        <w:spacing w:line="360" w:lineRule="auto" w:before="0" w:after="0"/>
        <w:ind w:firstLine="709"/>
        <w:jc w:val="both"/>
      </w:pPr>
      <w:r>
        <w:rPr>
          <w:rFonts w:ascii="Times New Roman" w:hAnsi="Times New Roman" w:cs="Times New Roman" w:eastAsia="Times New Roman"/>
          <w:b w:val="0"/>
          <w:i w:val="0"/>
          <w:sz w:val="28"/>
        </w:rPr>
        <w:t>– акцент на отечественное происхождение материалов и российскую сборку;</w:t>
      </w:r>
    </w:p>
    <w:p>
      <w:pPr>
        <w:spacing w:line="360" w:lineRule="auto" w:before="0" w:after="0"/>
        <w:ind w:firstLine="709"/>
        <w:jc w:val="both"/>
      </w:pPr>
      <w:r>
        <w:rPr>
          <w:rFonts w:ascii="Times New Roman" w:hAnsi="Times New Roman" w:cs="Times New Roman" w:eastAsia="Times New Roman"/>
          <w:b w:val="0"/>
          <w:i w:val="0"/>
          <w:sz w:val="28"/>
        </w:rPr>
        <w:t>– использование собственной логистической инфраструктуры для ускоренной доставки.</w:t>
      </w:r>
    </w:p>
    <w:p>
      <w:pPr>
        <w:keepNext w:val="0"/>
        <w:spacing w:line="360" w:lineRule="auto" w:before="0" w:after="0"/>
        <w:ind w:firstLine="709"/>
        <w:jc w:val="both"/>
      </w:pPr>
      <w:r>
        <w:rPr>
          <w:rFonts w:ascii="Times New Roman" w:hAnsi="Times New Roman" w:cs="Times New Roman" w:eastAsia="Times New Roman"/>
          <w:b w:val="0"/>
          <w:i w:val="0"/>
          <w:sz w:val="28"/>
        </w:rPr>
        <w:t>Источники дохода. Основным источником дохода проекта является реализация готовой продукции через собственную торговую интернет-площадку инициатора (планируемая доля в выручке проекта — 78 процентов), витрины на партнёрских торговых интернет-площадках (15 процентов), оптовые контракты с мультитоварными розничными операторами (7 процентов).</w:t>
      </w:r>
    </w:p>
    <w:p>
      <w:pPr>
        <w:keepNext w:val="0"/>
        <w:spacing w:line="360" w:lineRule="auto" w:before="0" w:after="0"/>
        <w:ind w:firstLine="709"/>
        <w:jc w:val="both"/>
      </w:pPr>
      <w:r>
        <w:rPr>
          <w:rFonts w:ascii="Times New Roman" w:hAnsi="Times New Roman" w:cs="Times New Roman" w:eastAsia="Times New Roman"/>
          <w:b w:val="0"/>
          <w:i w:val="0"/>
          <w:sz w:val="28"/>
        </w:rPr>
        <w:t>План маркетинговой деятельности включает анализ рынка, определение целевых сегментов, описание стратегии позиционирования, ценовой и коммуникационной политики, а также прогноз объёма продаж.</w:t>
      </w:r>
    </w:p>
    <w:p>
      <w:pPr>
        <w:keepNext w:val="0"/>
        <w:spacing w:line="360" w:lineRule="auto" w:before="0" w:after="0"/>
        <w:ind w:firstLine="709"/>
        <w:jc w:val="both"/>
      </w:pPr>
      <w:r>
        <w:rPr>
          <w:rFonts w:ascii="Times New Roman" w:hAnsi="Times New Roman" w:cs="Times New Roman" w:eastAsia="Times New Roman"/>
          <w:b w:val="0"/>
          <w:i w:val="0"/>
          <w:sz w:val="28"/>
        </w:rPr>
        <w:t>Рынок обуви Российской Федерации по итогам 2025 года, по оценкам ведущих отраслевых аналитических агентств, оценивается в диапазоне 1,5–1,7 трлн рублей в розничных ценах, или 480–520 млн пар в натуральном выражении. Структура рынка по сегментам представлена в таблице 3.2.</w:t>
      </w:r>
    </w:p>
    <w:p>
      <w:pPr>
        <w:keepNext/>
        <w:spacing w:line="360" w:lineRule="auto" w:before="120" w:after="0"/>
        <w:ind w:firstLine="0"/>
        <w:jc w:val="left"/>
      </w:pPr>
      <w:r>
        <w:rPr>
          <w:rFonts w:ascii="Times New Roman" w:hAnsi="Times New Roman" w:cs="Times New Roman" w:eastAsia="Times New Roman"/>
          <w:b w:val="0"/>
          <w:i w:val="0"/>
          <w:sz w:val="28"/>
        </w:rPr>
        <w:t>Таблица 3.2 – Структура рынка обуви Российской Федерации по сегментам, 2025 год</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118"/>
            <w:vAlign w:val="center"/>
          </w:tcPr>
          <w:p>
            <w:pPr>
              <w:spacing w:line="240" w:lineRule="auto" w:before="0" w:after="0"/>
              <w:ind w:firstLine="0"/>
              <w:jc w:val="center"/>
            </w:pPr>
            <w:r>
              <w:rPr>
                <w:rFonts w:ascii="Times New Roman" w:hAnsi="Times New Roman" w:cs="Times New Roman" w:eastAsia="Times New Roman"/>
                <w:b/>
                <w:i w:val="0"/>
                <w:sz w:val="24"/>
              </w:rPr>
              <w:t>Сегмент</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Доля рынка по выручке, %</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Средняя цена пары, рублей</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Среднегодовой темп роста за 2022–2025 годы, %</w:t>
            </w:r>
          </w:p>
        </w:tc>
      </w:tr>
      <w:tr>
        <w:tc>
          <w:tcPr>
            <w:tcW w:type="dxa" w:w="3118"/>
            <w:vAlign w:val="center"/>
          </w:tcPr>
          <w:p>
            <w:pPr>
              <w:spacing w:line="240" w:lineRule="auto" w:before="0" w:after="0"/>
              <w:ind w:firstLine="0"/>
              <w:jc w:val="left"/>
            </w:pPr>
            <w:r>
              <w:rPr>
                <w:rFonts w:ascii="Times New Roman" w:hAnsi="Times New Roman" w:cs="Times New Roman" w:eastAsia="Times New Roman"/>
                <w:b w:val="0"/>
                <w:i w:val="0"/>
                <w:sz w:val="24"/>
              </w:rPr>
              <w:t>Премиальный (свыше 12 000 рублей за пару)</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11,2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18 500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3,8</w:t>
            </w:r>
          </w:p>
        </w:tc>
      </w:tr>
      <w:tr>
        <w:tc>
          <w:tcPr>
            <w:tcW w:type="dxa" w:w="3118"/>
            <w:vAlign w:val="center"/>
          </w:tcPr>
          <w:p>
            <w:pPr>
              <w:spacing w:line="240" w:lineRule="auto" w:before="0" w:after="0"/>
              <w:ind w:firstLine="0"/>
              <w:jc w:val="left"/>
            </w:pPr>
            <w:r>
              <w:rPr>
                <w:rFonts w:ascii="Times New Roman" w:hAnsi="Times New Roman" w:cs="Times New Roman" w:eastAsia="Times New Roman"/>
                <w:b w:val="0"/>
                <w:i w:val="0"/>
                <w:sz w:val="24"/>
              </w:rPr>
              <w:t>Средний плюс (от 6 000 до 12 000 рублей)</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23,5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8 600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7,2</w:t>
            </w:r>
          </w:p>
        </w:tc>
      </w:tr>
      <w:tr>
        <w:tc>
          <w:tcPr>
            <w:tcW w:type="dxa" w:w="3118"/>
            <w:vAlign w:val="center"/>
          </w:tcPr>
          <w:p>
            <w:pPr>
              <w:spacing w:line="240" w:lineRule="auto" w:before="0" w:after="0"/>
              <w:ind w:firstLine="0"/>
              <w:jc w:val="left"/>
            </w:pPr>
            <w:r>
              <w:rPr>
                <w:rFonts w:ascii="Times New Roman" w:hAnsi="Times New Roman" w:cs="Times New Roman" w:eastAsia="Times New Roman"/>
                <w:b w:val="0"/>
                <w:i w:val="0"/>
                <w:sz w:val="24"/>
              </w:rPr>
              <w:t>Средний (от 3 000 до 6 000 рублей)</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38,4</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4 400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9,5</w:t>
            </w:r>
          </w:p>
        </w:tc>
      </w:tr>
      <w:tr>
        <w:tc>
          <w:tcPr>
            <w:tcW w:type="dxa" w:w="3118"/>
            <w:vAlign w:val="center"/>
          </w:tcPr>
          <w:p>
            <w:pPr>
              <w:spacing w:line="240" w:lineRule="auto" w:before="0" w:after="0"/>
              <w:ind w:firstLine="0"/>
              <w:jc w:val="left"/>
            </w:pPr>
            <w:r>
              <w:rPr>
                <w:rFonts w:ascii="Times New Roman" w:hAnsi="Times New Roman" w:cs="Times New Roman" w:eastAsia="Times New Roman"/>
                <w:b w:val="0"/>
                <w:i w:val="0"/>
                <w:sz w:val="24"/>
              </w:rPr>
              <w:t>Эконом (до 3 000 рублей)</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26,9</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1 950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5,1</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оценка автора на основании отраслевых обзоров и данных Федеральной службы государственной статистики.</w:t>
      </w:r>
    </w:p>
    <w:p>
      <w:pPr>
        <w:keepNext w:val="0"/>
        <w:spacing w:line="360" w:lineRule="auto" w:before="0" w:after="0"/>
        <w:ind w:firstLine="709"/>
        <w:jc w:val="both"/>
      </w:pPr>
      <w:r>
        <w:rPr>
          <w:rFonts w:ascii="Times New Roman" w:hAnsi="Times New Roman" w:cs="Times New Roman" w:eastAsia="Times New Roman"/>
          <w:b w:val="0"/>
          <w:i w:val="0"/>
          <w:sz w:val="28"/>
        </w:rPr>
        <w:t>Сегмент «средний», в котором планируется позиционирование собственной торговой марки «Тропа», является наиболее ёмким и одновременно одним из наиболее быстрорастущих, что подтверждает обоснованность выбранной стратегии.</w:t>
      </w:r>
    </w:p>
    <w:p>
      <w:pPr>
        <w:keepNext w:val="0"/>
        <w:spacing w:line="360" w:lineRule="auto" w:before="0" w:after="0"/>
        <w:ind w:firstLine="709"/>
        <w:jc w:val="both"/>
      </w:pPr>
      <w:r>
        <w:rPr>
          <w:rFonts w:ascii="Times New Roman" w:hAnsi="Times New Roman" w:cs="Times New Roman" w:eastAsia="Times New Roman"/>
          <w:b w:val="0"/>
          <w:i w:val="0"/>
          <w:sz w:val="28"/>
        </w:rPr>
        <w:t>Структура распределения продаж обуви по каналам сбыта в Российской Федерации за 2025 год представлена на рисунке 3.1.</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3.1 – Структура продаж обуви в Российской Федерации по каналам сбыта в 2025 году, проценты</w:t>
      </w:r>
    </w:p>
    <w:p>
      <w:pPr>
        <w:keepNext w:val="0"/>
        <w:spacing w:line="240" w:lineRule="auto" w:before="0" w:after="120"/>
        <w:ind w:firstLine="0"/>
        <w:jc w:val="both"/>
      </w:pPr>
      <w:r>
        <w:rPr>
          <w:rFonts w:ascii="Times New Roman" w:hAnsi="Times New Roman" w:cs="Times New Roman" w:eastAsia="Times New Roman"/>
          <w:b w:val="0"/>
          <w:i w:val="0"/>
          <w:sz w:val="24"/>
        </w:rPr>
        <w:t>Источник: рисунок построен по данным отраслевых обзоров и материалам Федеральной службы государственной статистики. Доли каналов сбыта: партнёрские торговые интернет-площадки — 41 процент; специализированные сети — 28 процентов; мультитоварные традиционные магазины — 15 процентов; универсальные розничные операторы — 10 процентов; прочие каналы — 6 процентов.</w:t>
      </w:r>
    </w:p>
    <w:p>
      <w:pPr>
        <w:keepNext w:val="0"/>
        <w:spacing w:line="360" w:lineRule="auto" w:before="0" w:after="0"/>
        <w:ind w:firstLine="709"/>
        <w:jc w:val="both"/>
      </w:pPr>
      <w:r>
        <w:rPr>
          <w:rFonts w:ascii="Times New Roman" w:hAnsi="Times New Roman" w:cs="Times New Roman" w:eastAsia="Times New Roman"/>
          <w:b w:val="0"/>
          <w:i w:val="0"/>
          <w:sz w:val="28"/>
        </w:rPr>
        <w:t>Доля цифровых каналов выросла за последние пять лет с 18 до 41 процента, что соответствует тенденции переноса покупательского поведения в цифровое пространство и подтверждает целесообразность реализации проекта в составе действующего оператора торговой интернет-площадки.</w:t>
      </w:r>
    </w:p>
    <w:p>
      <w:pPr>
        <w:keepNext w:val="0"/>
        <w:spacing w:line="360" w:lineRule="auto" w:before="0" w:after="0"/>
        <w:ind w:firstLine="709"/>
        <w:jc w:val="both"/>
      </w:pPr>
      <w:r>
        <w:rPr>
          <w:rFonts w:ascii="Times New Roman" w:hAnsi="Times New Roman" w:cs="Times New Roman" w:eastAsia="Times New Roman"/>
          <w:b w:val="0"/>
          <w:i w:val="0"/>
          <w:sz w:val="28"/>
        </w:rPr>
        <w:t>Конкурентное поле в сегменте «средний» представлено несколькими группами участников: международными торговыми марками массового сегмента, отечественными производителями, собственными торговыми марками крупных розничных операторов, импортными торговыми марками из государств Азии. Уход с российского рынка ряда международных торговых марок в 2022–2024 годах привёл к освобождению до 18–22 процентов ёмкости сегмента, что создаёт «окно возможностей» для запуска новых отечественных торговых марок.</w:t>
      </w:r>
    </w:p>
    <w:p>
      <w:pPr>
        <w:keepNext w:val="0"/>
        <w:spacing w:line="360" w:lineRule="auto" w:before="0" w:after="0"/>
        <w:ind w:firstLine="709"/>
        <w:jc w:val="both"/>
      </w:pPr>
      <w:r>
        <w:rPr>
          <w:rFonts w:ascii="Times New Roman" w:hAnsi="Times New Roman" w:cs="Times New Roman" w:eastAsia="Times New Roman"/>
          <w:b w:val="0"/>
          <w:i w:val="0"/>
          <w:sz w:val="28"/>
        </w:rPr>
        <w:t>Стратегия позиционирования продукта формулируется следующим образом: «Современная городская обувь, объединяющая собственный дизайн, отечественное качество производства и доступную цену, доступная для покупки в один щелчок с быстрой доставкой». Позиционирование строится на трёх опорных смысловых элементах — «дизайн», «качество», «удобство покупки». Каждому элементу соответствует комплекс маркетинговых мероприятий по его коммуникационной поддержке.</w:t>
      </w:r>
    </w:p>
    <w:p>
      <w:pPr>
        <w:keepNext w:val="0"/>
        <w:spacing w:line="360" w:lineRule="auto" w:before="0" w:after="0"/>
        <w:ind w:firstLine="709"/>
        <w:jc w:val="both"/>
      </w:pPr>
      <w:r>
        <w:rPr>
          <w:rFonts w:ascii="Times New Roman" w:hAnsi="Times New Roman" w:cs="Times New Roman" w:eastAsia="Times New Roman"/>
          <w:b w:val="0"/>
          <w:i w:val="0"/>
          <w:sz w:val="28"/>
        </w:rPr>
        <w:t>Ценовая политика. Средняя отпускная цена единицы продукции на год выхода на проектную мощность установлена на уровне 4 900 рублей без налога на добавленную стоимость, что соответствует средневзвешенной цене сегмента «средний». Розничная цена на торговой интернет-площадке инициатора устанавливается с торговой наценкой 38 процентов, что обеспечивает розничную цену в диапазоне 6 700–7 200 рублей с учётом налога на добавленную стоимость. Применяется механизм управляемой ценовой эластичности через систему персональных предложений и сезонных распродаж в межсезонье.</w:t>
      </w:r>
    </w:p>
    <w:p>
      <w:pPr>
        <w:keepNext w:val="0"/>
        <w:spacing w:line="360" w:lineRule="auto" w:before="0" w:after="0"/>
        <w:ind w:firstLine="709"/>
        <w:jc w:val="both"/>
      </w:pPr>
      <w:r>
        <w:rPr>
          <w:rFonts w:ascii="Times New Roman" w:hAnsi="Times New Roman" w:cs="Times New Roman" w:eastAsia="Times New Roman"/>
          <w:b w:val="0"/>
          <w:i w:val="0"/>
          <w:sz w:val="28"/>
        </w:rPr>
        <w:t>Коммуникационная политика включает следующие направления:</w:t>
      </w:r>
    </w:p>
    <w:p>
      <w:pPr>
        <w:spacing w:line="360" w:lineRule="auto" w:before="0" w:after="0"/>
        <w:ind w:firstLine="709"/>
        <w:jc w:val="both"/>
      </w:pPr>
      <w:r>
        <w:rPr>
          <w:rFonts w:ascii="Times New Roman" w:hAnsi="Times New Roman" w:cs="Times New Roman" w:eastAsia="Times New Roman"/>
          <w:b w:val="0"/>
          <w:i w:val="0"/>
          <w:sz w:val="28"/>
        </w:rPr>
        <w:t>– продвижение в социальных сетях и системах обмена сообщениями с использованием формата коротких видеороликов и сотрудничества с лидерами мнений небольшой аудитории;</w:t>
      </w:r>
    </w:p>
    <w:p>
      <w:pPr>
        <w:spacing w:line="360" w:lineRule="auto" w:before="0" w:after="0"/>
        <w:ind w:firstLine="709"/>
        <w:jc w:val="both"/>
      </w:pPr>
      <w:r>
        <w:rPr>
          <w:rFonts w:ascii="Times New Roman" w:hAnsi="Times New Roman" w:cs="Times New Roman" w:eastAsia="Times New Roman"/>
          <w:b w:val="0"/>
          <w:i w:val="0"/>
          <w:sz w:val="28"/>
        </w:rPr>
        <w:t>– контекстная и адресная цифровая реклама на основе сегментации пользовательской базы инициатора;</w:t>
      </w:r>
    </w:p>
    <w:p>
      <w:pPr>
        <w:spacing w:line="360" w:lineRule="auto" w:before="0" w:after="0"/>
        <w:ind w:firstLine="709"/>
        <w:jc w:val="both"/>
      </w:pPr>
      <w:r>
        <w:rPr>
          <w:rFonts w:ascii="Times New Roman" w:hAnsi="Times New Roman" w:cs="Times New Roman" w:eastAsia="Times New Roman"/>
          <w:b w:val="0"/>
          <w:i w:val="0"/>
          <w:sz w:val="28"/>
        </w:rPr>
        <w:t>– электронные почтовые рассылки и уведомления в мобильном приложении с учётом истории покупок;</w:t>
      </w:r>
    </w:p>
    <w:p>
      <w:pPr>
        <w:spacing w:line="360" w:lineRule="auto" w:before="0" w:after="0"/>
        <w:ind w:firstLine="709"/>
        <w:jc w:val="both"/>
      </w:pPr>
      <w:r>
        <w:rPr>
          <w:rFonts w:ascii="Times New Roman" w:hAnsi="Times New Roman" w:cs="Times New Roman" w:eastAsia="Times New Roman"/>
          <w:b w:val="0"/>
          <w:i w:val="0"/>
          <w:sz w:val="28"/>
        </w:rPr>
        <w:t>– размещение в редакционных подборках и рекомендательных модулях торговой интернет-площадки;</w:t>
      </w:r>
    </w:p>
    <w:p>
      <w:pPr>
        <w:spacing w:line="360" w:lineRule="auto" w:before="0" w:after="0"/>
        <w:ind w:firstLine="709"/>
        <w:jc w:val="both"/>
      </w:pPr>
      <w:r>
        <w:rPr>
          <w:rFonts w:ascii="Times New Roman" w:hAnsi="Times New Roman" w:cs="Times New Roman" w:eastAsia="Times New Roman"/>
          <w:b w:val="0"/>
          <w:i w:val="0"/>
          <w:sz w:val="28"/>
        </w:rPr>
        <w:t>– участие в сезонных рекламно-стимулирующих кампаниях платформы с применением каскадных скидок.</w:t>
      </w:r>
    </w:p>
    <w:p>
      <w:pPr>
        <w:keepNext w:val="0"/>
        <w:spacing w:line="360" w:lineRule="auto" w:before="0" w:after="0"/>
        <w:ind w:firstLine="709"/>
        <w:jc w:val="both"/>
      </w:pPr>
      <w:r>
        <w:rPr>
          <w:rFonts w:ascii="Times New Roman" w:hAnsi="Times New Roman" w:cs="Times New Roman" w:eastAsia="Times New Roman"/>
          <w:b w:val="0"/>
          <w:i w:val="0"/>
          <w:sz w:val="28"/>
        </w:rPr>
        <w:t>Бюджет маркетинговой деятельности проекта на первый год реализации установлен в размере 9,5 процента от плановой выручки, на второй год — 7,0 процента, на третий и последующие годы — 5,0 процента, с постепенным переходом коммуникационных функций к собственным каналам платформы.</w:t>
      </w:r>
    </w:p>
    <w:p>
      <w:pPr>
        <w:keepNext w:val="0"/>
        <w:spacing w:line="360" w:lineRule="auto" w:before="0" w:after="0"/>
        <w:ind w:firstLine="709"/>
        <w:jc w:val="both"/>
      </w:pPr>
      <w:r>
        <w:rPr>
          <w:rFonts w:ascii="Times New Roman" w:hAnsi="Times New Roman" w:cs="Times New Roman" w:eastAsia="Times New Roman"/>
          <w:b w:val="0"/>
          <w:i w:val="0"/>
          <w:sz w:val="28"/>
        </w:rPr>
        <w:t>Прогноз объёма продаж по периодам реализации проекта представлен в таблице 3.3.</w:t>
      </w:r>
    </w:p>
    <w:p>
      <w:pPr>
        <w:keepNext/>
        <w:spacing w:line="360" w:lineRule="auto" w:before="120" w:after="0"/>
        <w:ind w:firstLine="0"/>
        <w:jc w:val="left"/>
      </w:pPr>
      <w:r>
        <w:rPr>
          <w:rFonts w:ascii="Times New Roman" w:hAnsi="Times New Roman" w:cs="Times New Roman" w:eastAsia="Times New Roman"/>
          <w:b w:val="0"/>
          <w:i w:val="0"/>
          <w:sz w:val="28"/>
        </w:rPr>
        <w:t>Таблица 3.3 – Прогноз объёма продаж по проекту</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Период</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Объём продаж, тысяч пар</w:t>
            </w:r>
          </w:p>
        </w:tc>
        <w:tc>
          <w:tcPr>
            <w:tcW w:type="dxa" w:w="2551"/>
            <w:vAlign w:val="center"/>
          </w:tcPr>
          <w:p>
            <w:pPr>
              <w:spacing w:line="240" w:lineRule="auto" w:before="0" w:after="0"/>
              <w:ind w:firstLine="0"/>
              <w:jc w:val="center"/>
            </w:pPr>
            <w:r>
              <w:rPr>
                <w:rFonts w:ascii="Times New Roman" w:hAnsi="Times New Roman" w:cs="Times New Roman" w:eastAsia="Times New Roman"/>
                <w:b/>
                <w:i w:val="0"/>
                <w:sz w:val="24"/>
              </w:rPr>
              <w:t>Средняя отпускная цена, рублей</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Выручка без НДС, млн рублей</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1-й год (2026)</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4 700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329,0</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2-й год (2027)</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160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4 800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768,0</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3-й год (2028)</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250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4 900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1 225,0</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4-й год (2029)</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280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5 000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1 400,0</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5-й год (2030)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300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5 100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1 530,0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Прогноз построен с учётом постепенного выхода производственной линии на проектную мощность к третьему году проекта, последующего расширения ассортимента и роста узнаваемости торговой марки. Средняя отпускная цена индексируется на ожидаемый темп инфляции около 4,0 процента в год.</w:t>
      </w:r>
    </w:p>
    <w:p>
      <w:pPr>
        <w:keepNext w:val="0"/>
        <w:spacing w:line="360" w:lineRule="auto" w:before="0" w:after="0"/>
        <w:ind w:firstLine="709"/>
        <w:jc w:val="both"/>
      </w:pPr>
      <w:r>
        <w:rPr>
          <w:rFonts w:ascii="Times New Roman" w:hAnsi="Times New Roman" w:cs="Times New Roman" w:eastAsia="Times New Roman"/>
          <w:b w:val="0"/>
          <w:i w:val="0"/>
          <w:sz w:val="28"/>
        </w:rPr>
        <w:t>Анализ чувствительности маркетинговых параметров показывает, что наиболее значимое влияние на коммерческие результаты проекта оказывают объём продаж в натуральном выражении и средняя отпускная цена. Подробный анализ чувствительности представлен в параграфе 3.2.</w:t>
      </w:r>
    </w:p>
    <w:p>
      <w:pPr>
        <w:keepNext w:val="0"/>
        <w:spacing w:line="360" w:lineRule="auto" w:before="0" w:after="0"/>
        <w:ind w:firstLine="709"/>
        <w:jc w:val="both"/>
      </w:pPr>
      <w:r>
        <w:rPr>
          <w:rFonts w:ascii="Times New Roman" w:hAnsi="Times New Roman" w:cs="Times New Roman" w:eastAsia="Times New Roman"/>
          <w:b w:val="0"/>
          <w:i w:val="0"/>
          <w:sz w:val="28"/>
        </w:rPr>
        <w:t>Производственный план проекта формируется исходя из выбранной комбинированной модели запуска производства: дизайн, разработка технических условий, контроль качества, маркетинговая работа и сбыт реализуются собственными силами инициатора, основные производственные операции — раскрой, прошивка верха, формирование подошвы, сборка готового изделия — передаются на договорной основе российским производственным площадкам.</w:t>
      </w:r>
    </w:p>
    <w:p>
      <w:pPr>
        <w:keepNext w:val="0"/>
        <w:spacing w:line="360" w:lineRule="auto" w:before="0" w:after="0"/>
        <w:ind w:firstLine="709"/>
        <w:jc w:val="both"/>
      </w:pPr>
      <w:r>
        <w:rPr>
          <w:rFonts w:ascii="Times New Roman" w:hAnsi="Times New Roman" w:cs="Times New Roman" w:eastAsia="Times New Roman"/>
          <w:b w:val="0"/>
          <w:i w:val="0"/>
          <w:sz w:val="28"/>
        </w:rPr>
        <w:t>Локализация производства. По результатам предварительного отбора потенциальных подрядчиков рассматриваются три основные производственные площадки, расположенные в субъектах Российской Федерации с развитой обувной промышленностью: Ростовская область (город Ростов-на-Дону), Свердловская область (город Екатеринбург) и Кировская область (город Киров). В качестве базового варианта выбрана производственная площадка в Ростовской области, обеспечивающая оптимальное сочетание производственной мощности, квалификации персонала, географической доступности и стоимости услуг.</w:t>
      </w:r>
    </w:p>
    <w:p>
      <w:pPr>
        <w:keepNext w:val="0"/>
        <w:spacing w:line="360" w:lineRule="auto" w:before="0" w:after="0"/>
        <w:ind w:firstLine="709"/>
        <w:jc w:val="both"/>
      </w:pPr>
      <w:r>
        <w:rPr>
          <w:rFonts w:ascii="Times New Roman" w:hAnsi="Times New Roman" w:cs="Times New Roman" w:eastAsia="Times New Roman"/>
          <w:b w:val="0"/>
          <w:i w:val="0"/>
          <w:sz w:val="28"/>
        </w:rPr>
        <w:t>Производственная программа. Производственная программа проекта в количественном выражении соответствует прогнозу объёма продаж, представленному в таблице 3.3, с учётом коэффициента товарных запасов 1,15 в первые два года и 1,08 в последующие годы. Производственная программа на год выхода на проектную мощность (3-й год проекта) представлена в таблице 3.4.</w:t>
      </w:r>
    </w:p>
    <w:p>
      <w:pPr>
        <w:keepNext/>
        <w:spacing w:line="360" w:lineRule="auto" w:before="120" w:after="0"/>
        <w:ind w:firstLine="0"/>
        <w:jc w:val="left"/>
      </w:pPr>
      <w:r>
        <w:rPr>
          <w:rFonts w:ascii="Times New Roman" w:hAnsi="Times New Roman" w:cs="Times New Roman" w:eastAsia="Times New Roman"/>
          <w:b w:val="0"/>
          <w:i w:val="0"/>
          <w:sz w:val="28"/>
        </w:rPr>
        <w:t>Таблица 3.4 – Производственная программа на 3-й год проекта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2835"/>
            <w:vAlign w:val="center"/>
          </w:tcPr>
          <w:p>
            <w:pPr>
              <w:spacing w:line="240" w:lineRule="auto" w:before="0" w:after="0"/>
              <w:ind w:firstLine="0"/>
              <w:jc w:val="center"/>
            </w:pPr>
            <w:r>
              <w:rPr>
                <w:rFonts w:ascii="Times New Roman" w:hAnsi="Times New Roman" w:cs="Times New Roman" w:eastAsia="Times New Roman"/>
                <w:b/>
                <w:i w:val="0"/>
                <w:sz w:val="24"/>
              </w:rPr>
              <w:t>Ассортиментная группа</w:t>
            </w:r>
          </w:p>
        </w:tc>
        <w:tc>
          <w:tcPr>
            <w:tcW w:type="dxa" w:w="1417"/>
            <w:vAlign w:val="center"/>
          </w:tcPr>
          <w:p>
            <w:pPr>
              <w:spacing w:line="240" w:lineRule="auto" w:before="0" w:after="0"/>
              <w:ind w:firstLine="0"/>
              <w:jc w:val="center"/>
            </w:pPr>
            <w:r>
              <w:rPr>
                <w:rFonts w:ascii="Times New Roman" w:hAnsi="Times New Roman" w:cs="Times New Roman" w:eastAsia="Times New Roman"/>
                <w:b/>
                <w:i w:val="0"/>
                <w:sz w:val="24"/>
              </w:rPr>
              <w:t>Количество позиций</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Объём выпуска, тысяч пар</w:t>
            </w:r>
          </w:p>
        </w:tc>
        <w:tc>
          <w:tcPr>
            <w:tcW w:type="dxa" w:w="1417"/>
            <w:vAlign w:val="center"/>
          </w:tcPr>
          <w:p>
            <w:pPr>
              <w:spacing w:line="240" w:lineRule="auto" w:before="0" w:after="0"/>
              <w:ind w:firstLine="0"/>
              <w:jc w:val="center"/>
            </w:pPr>
            <w:r>
              <w:rPr>
                <w:rFonts w:ascii="Times New Roman" w:hAnsi="Times New Roman" w:cs="Times New Roman" w:eastAsia="Times New Roman"/>
                <w:b/>
                <w:i w:val="0"/>
                <w:sz w:val="24"/>
              </w:rPr>
              <w:t>Доля в выпуске, %</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Средняя себестоимость пары, рублей</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Женская обувь повседневного назначения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96</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105</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42,0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2 350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Женская обувь повседневно-делового назначения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48</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50</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20,0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2 750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Мужская обувь повседневного назначения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64</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60</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2 480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Мужская обувь повседневно-делового назначения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32</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35</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14,0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2 880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Итого</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250</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100,0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2 530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Средневзвешенная производственная себестоимость единицы продукции на год выхода на проектную мощность составляет 2 530 рублей, что обеспечивает валовую маржинальность 48,4 процента при средней отпускной цене 4 900 рублей.</w:t>
      </w:r>
    </w:p>
    <w:p>
      <w:pPr>
        <w:keepNext w:val="0"/>
        <w:spacing w:line="360" w:lineRule="auto" w:before="0" w:after="0"/>
        <w:ind w:firstLine="709"/>
        <w:jc w:val="both"/>
      </w:pPr>
      <w:r>
        <w:rPr>
          <w:rFonts w:ascii="Times New Roman" w:hAnsi="Times New Roman" w:cs="Times New Roman" w:eastAsia="Times New Roman"/>
          <w:b w:val="0"/>
          <w:i w:val="0"/>
          <w:sz w:val="28"/>
        </w:rPr>
        <w:t>Структура производственной себестоимости единицы продукции (для базовой женской модели повседневного назначения) представлена в таблице 3.5.</w:t>
      </w:r>
    </w:p>
    <w:p>
      <w:pPr>
        <w:keepNext/>
        <w:spacing w:line="360" w:lineRule="auto" w:before="120" w:after="0"/>
        <w:ind w:firstLine="0"/>
        <w:jc w:val="left"/>
      </w:pPr>
      <w:r>
        <w:rPr>
          <w:rFonts w:ascii="Times New Roman" w:hAnsi="Times New Roman" w:cs="Times New Roman" w:eastAsia="Times New Roman"/>
          <w:b w:val="0"/>
          <w:i w:val="0"/>
          <w:sz w:val="28"/>
        </w:rPr>
        <w:t>Таблица 3.5 – Структура производственной себестоимости единицы продукции, рублей</w:t>
      </w:r>
    </w:p>
    <w:tbl>
      <w:tblPr>
        <w:tblStyle w:val="TableGrid"/>
        <w:tblW w:type="auto" w:w="0"/>
        <w:tblLayout w:type="fixed"/>
        <w:tblLook w:firstColumn="1" w:firstRow="1" w:lastColumn="0" w:lastRow="0" w:noHBand="0" w:noVBand="1" w:val="04A0"/>
      </w:tblPr>
      <w:tblGrid>
        <w:gridCol w:w="3213"/>
        <w:gridCol w:w="3213"/>
        <w:gridCol w:w="3213"/>
      </w:tblGrid>
      <w:tr>
        <w:tc>
          <w:tcPr>
            <w:tcW w:type="dxa" w:w="5102"/>
            <w:vAlign w:val="center"/>
          </w:tcPr>
          <w:p>
            <w:pPr>
              <w:spacing w:line="240" w:lineRule="auto" w:before="0" w:after="0"/>
              <w:ind w:firstLine="0"/>
              <w:jc w:val="center"/>
            </w:pPr>
            <w:r>
              <w:rPr>
                <w:rFonts w:ascii="Times New Roman" w:hAnsi="Times New Roman" w:cs="Times New Roman" w:eastAsia="Times New Roman"/>
                <w:b/>
                <w:i w:val="0"/>
                <w:sz w:val="24"/>
              </w:rPr>
              <w:t>Статья затрат</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Сумма, рублей</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Удельный вес, %</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Сырьё и материалы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1 105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47,0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в том числе: натуральная кожа и комбинированные материалы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615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26,2</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подошвенные материалы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245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фурнитура (шнурки, люверсы, прочее)</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95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стелька, подкладка, прочее</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150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6,4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Услуги контрактного производства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705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30,0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в том числе: раскрой и прошивка верха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380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16,2</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формирование подошвы и сборка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245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контроль качества и упаковка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80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Транспортно-заготовительные расходы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165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7,0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Амортизация форм и оснастки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80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Прочие производственные расходы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4,5</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Производственная себестоимость</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2 160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91,9</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Логистика до распределительного центра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95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Общехозяйственные расходы, относимые на единицу продукции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95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4,1</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Полная себестоимость единицы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2 350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 на основании предварительных коммерческих предложений потенциальных подрядчиков и нормативов затрат, принятых в обувной отрасли.</w:t>
      </w:r>
    </w:p>
    <w:p>
      <w:pPr>
        <w:keepNext w:val="0"/>
        <w:spacing w:line="360" w:lineRule="auto" w:before="0" w:after="0"/>
        <w:ind w:firstLine="709"/>
        <w:jc w:val="both"/>
      </w:pPr>
      <w:r>
        <w:rPr>
          <w:rFonts w:ascii="Times New Roman" w:hAnsi="Times New Roman" w:cs="Times New Roman" w:eastAsia="Times New Roman"/>
          <w:b w:val="0"/>
          <w:i w:val="0"/>
          <w:sz w:val="28"/>
        </w:rPr>
        <w:t>Перечень основного производственного оборудования, приобретаемого инициатором и передаваемого подрядчику в безвозмездное пользование на условиях договора подряда, представлен в таблице 3.6.</w:t>
      </w:r>
    </w:p>
    <w:p>
      <w:pPr>
        <w:keepNext/>
        <w:spacing w:line="360" w:lineRule="auto" w:before="120" w:after="0"/>
        <w:ind w:firstLine="0"/>
        <w:jc w:val="left"/>
      </w:pPr>
      <w:r>
        <w:rPr>
          <w:rFonts w:ascii="Times New Roman" w:hAnsi="Times New Roman" w:cs="Times New Roman" w:eastAsia="Times New Roman"/>
          <w:b w:val="0"/>
          <w:i w:val="0"/>
          <w:sz w:val="28"/>
        </w:rPr>
        <w:t>Таблица 3.6 – Перечень основного оборудования и оснастки, передаваемого подрядчику</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685"/>
            <w:vAlign w:val="center"/>
          </w:tcPr>
          <w:p>
            <w:pPr>
              <w:spacing w:line="240" w:lineRule="auto" w:before="0" w:after="0"/>
              <w:ind w:firstLine="0"/>
              <w:jc w:val="center"/>
            </w:pPr>
            <w:r>
              <w:rPr>
                <w:rFonts w:ascii="Times New Roman" w:hAnsi="Times New Roman" w:cs="Times New Roman" w:eastAsia="Times New Roman"/>
                <w:b/>
                <w:i w:val="0"/>
                <w:sz w:val="24"/>
              </w:rPr>
              <w:t>Наименование</w:t>
            </w:r>
          </w:p>
        </w:tc>
        <w:tc>
          <w:tcPr>
            <w:tcW w:type="dxa" w:w="1587"/>
            <w:vAlign w:val="center"/>
          </w:tcPr>
          <w:p>
            <w:pPr>
              <w:spacing w:line="240" w:lineRule="auto" w:before="0" w:after="0"/>
              <w:ind w:firstLine="0"/>
              <w:jc w:val="center"/>
            </w:pPr>
            <w:r>
              <w:rPr>
                <w:rFonts w:ascii="Times New Roman" w:hAnsi="Times New Roman" w:cs="Times New Roman" w:eastAsia="Times New Roman"/>
                <w:b/>
                <w:i w:val="0"/>
                <w:sz w:val="24"/>
              </w:rPr>
              <w:t>Количество, штук</w:t>
            </w:r>
          </w:p>
        </w:tc>
        <w:tc>
          <w:tcPr>
            <w:tcW w:type="dxa" w:w="1928"/>
            <w:vAlign w:val="center"/>
          </w:tcPr>
          <w:p>
            <w:pPr>
              <w:spacing w:line="240" w:lineRule="auto" w:before="0" w:after="0"/>
              <w:ind w:firstLine="0"/>
              <w:jc w:val="center"/>
            </w:pPr>
            <w:r>
              <w:rPr>
                <w:rFonts w:ascii="Times New Roman" w:hAnsi="Times New Roman" w:cs="Times New Roman" w:eastAsia="Times New Roman"/>
                <w:b/>
                <w:i w:val="0"/>
                <w:sz w:val="24"/>
              </w:rPr>
              <w:t>Стоимость единицы, тыс. рублей</w:t>
            </w:r>
          </w:p>
        </w:tc>
        <w:tc>
          <w:tcPr>
            <w:tcW w:type="dxa" w:w="1871"/>
            <w:vAlign w:val="center"/>
          </w:tcPr>
          <w:p>
            <w:pPr>
              <w:spacing w:line="240" w:lineRule="auto" w:before="0" w:after="0"/>
              <w:ind w:firstLine="0"/>
              <w:jc w:val="center"/>
            </w:pPr>
            <w:r>
              <w:rPr>
                <w:rFonts w:ascii="Times New Roman" w:hAnsi="Times New Roman" w:cs="Times New Roman" w:eastAsia="Times New Roman"/>
                <w:b/>
                <w:i w:val="0"/>
                <w:sz w:val="24"/>
              </w:rPr>
              <w:t>Общая стоимость, тыс. рублей</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Раскройная установка с числовым программным управлением</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18 500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37 000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Швейные машины для верха обуви</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22</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320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7 040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Формы для литья подошвы (комплект на коллекцию)</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85</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20 400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Сборочная линия (модульная)</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42 000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42 000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Оборудование для контроля качества</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 комплект</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6 800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6 800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Лабораторное оборудование для входного контроля материалов</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 комплект</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4 600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4 600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Прочее оборудование и оснастка</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12 160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Итого</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130 000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Общая стоимость передаваемого подрядчику оборудования и оснастки составляет 130,0 млн рублей, или 31,0 процента от общей суммы инвестиций. Оборудование амортизируется в учёте инициатора линейным методом исходя из срока полезного использования 7 лет.</w:t>
      </w:r>
    </w:p>
    <w:p>
      <w:pPr>
        <w:keepNext w:val="0"/>
        <w:spacing w:line="360" w:lineRule="auto" w:before="0" w:after="0"/>
        <w:ind w:firstLine="709"/>
        <w:jc w:val="both"/>
      </w:pPr>
      <w:r>
        <w:rPr>
          <w:rFonts w:ascii="Times New Roman" w:hAnsi="Times New Roman" w:cs="Times New Roman" w:eastAsia="Times New Roman"/>
          <w:b w:val="0"/>
          <w:i w:val="0"/>
          <w:sz w:val="28"/>
        </w:rPr>
        <w:t>Прочая структура инвестиций проекта раскрыта далее в составе финансового плана настоящего параграфа. Дополнительно отметим, что в состав инвестиций включаются затраты на разработку дизайна и технических условий первой и второй коллекций, на формирование первоначального товарного запаса, на запуск рекламной кампании выхода на рынок, а также на разработку специализированного программного модуля управления ассортиментом собственной торговой марки в составе платформы инициатора.</w:t>
      </w:r>
    </w:p>
    <w:p>
      <w:pPr>
        <w:keepNext w:val="0"/>
        <w:spacing w:line="360" w:lineRule="auto" w:before="0" w:after="0"/>
        <w:ind w:firstLine="709"/>
        <w:jc w:val="both"/>
      </w:pPr>
      <w:r>
        <w:rPr>
          <w:rFonts w:ascii="Times New Roman" w:hAnsi="Times New Roman" w:cs="Times New Roman" w:eastAsia="Times New Roman"/>
          <w:b w:val="0"/>
          <w:i w:val="0"/>
          <w:sz w:val="28"/>
        </w:rPr>
        <w:t>Организационный план. Управление проектом строится на основе матричной структуры, в рамках которой выделяется межфункциональная проектная команда, подчинённая непосредственно директору по развитию категории. Состав проектной команды представлен в таблице 3.7.</w:t>
      </w:r>
    </w:p>
    <w:p>
      <w:pPr>
        <w:keepNext/>
        <w:spacing w:line="360" w:lineRule="auto" w:before="120" w:after="0"/>
        <w:ind w:firstLine="0"/>
        <w:jc w:val="left"/>
      </w:pPr>
      <w:r>
        <w:rPr>
          <w:rFonts w:ascii="Times New Roman" w:hAnsi="Times New Roman" w:cs="Times New Roman" w:eastAsia="Times New Roman"/>
          <w:b w:val="0"/>
          <w:i w:val="0"/>
          <w:sz w:val="28"/>
        </w:rPr>
        <w:t>Таблица 3.7 – Штатное расписание проектной команды на 3-й год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685"/>
            <w:vAlign w:val="center"/>
          </w:tcPr>
          <w:p>
            <w:pPr>
              <w:spacing w:line="240" w:lineRule="auto" w:before="0" w:after="0"/>
              <w:ind w:firstLine="0"/>
              <w:jc w:val="center"/>
            </w:pPr>
            <w:r>
              <w:rPr>
                <w:rFonts w:ascii="Times New Roman" w:hAnsi="Times New Roman" w:cs="Times New Roman" w:eastAsia="Times New Roman"/>
                <w:b/>
                <w:i w:val="0"/>
                <w:sz w:val="24"/>
              </w:rPr>
              <w:t>Должность</w:t>
            </w:r>
          </w:p>
        </w:tc>
        <w:tc>
          <w:tcPr>
            <w:tcW w:type="dxa" w:w="1417"/>
            <w:vAlign w:val="center"/>
          </w:tcPr>
          <w:p>
            <w:pPr>
              <w:spacing w:line="240" w:lineRule="auto" w:before="0" w:after="0"/>
              <w:ind w:firstLine="0"/>
              <w:jc w:val="center"/>
            </w:pPr>
            <w:r>
              <w:rPr>
                <w:rFonts w:ascii="Times New Roman" w:hAnsi="Times New Roman" w:cs="Times New Roman" w:eastAsia="Times New Roman"/>
                <w:b/>
                <w:i w:val="0"/>
                <w:sz w:val="24"/>
              </w:rPr>
              <w:t>Численность, единиц</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Среднемесячная заработная плата, тыс. рублей</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Годовой фонд оплаты труда, тыс. рублей</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Руководитель проекта (директор торговой марки)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320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3 840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Главный дизайнер</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2 880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Дизайнер обуви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3</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160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5 760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Технолог обувного производства</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180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4 320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Менеджер по контрактному производству</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150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3 600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Менеджер по качеству</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140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3 360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Менеджер по закупкам сырья и материалов</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145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3 480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Менеджер по торговой марке</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220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2 640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Маркетолог</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150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3 600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Аналитик</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140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3 360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Координатор логистики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130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1 560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Итого</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19</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38 400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С учётом страховых взносов в государственные внебюджетные фонды по совокупной ставке 30,2 процента годовой фонд оплаты труда с начислениями составляет 49 997 тыс. рублей, или около 50,0 млн рублей в год. Указанные затраты относятся к категории постоянных и учитываются в составе общехозяйственных расходов финансового плана.</w:t>
      </w:r>
    </w:p>
    <w:p>
      <w:pPr>
        <w:keepNext w:val="0"/>
        <w:spacing w:line="360" w:lineRule="auto" w:before="0" w:after="0"/>
        <w:ind w:firstLine="709"/>
        <w:jc w:val="both"/>
      </w:pPr>
      <w:r>
        <w:rPr>
          <w:rFonts w:ascii="Times New Roman" w:hAnsi="Times New Roman" w:cs="Times New Roman" w:eastAsia="Times New Roman"/>
          <w:b w:val="0"/>
          <w:i w:val="0"/>
          <w:sz w:val="28"/>
        </w:rPr>
        <w:t>Календарный план реализации инвестиционной фазы проекта представлен в таблице 3.8.</w:t>
      </w:r>
    </w:p>
    <w:p>
      <w:pPr>
        <w:keepNext/>
        <w:spacing w:line="360" w:lineRule="auto" w:before="120" w:after="0"/>
        <w:ind w:firstLine="0"/>
        <w:jc w:val="left"/>
      </w:pPr>
      <w:r>
        <w:rPr>
          <w:rFonts w:ascii="Times New Roman" w:hAnsi="Times New Roman" w:cs="Times New Roman" w:eastAsia="Times New Roman"/>
          <w:b w:val="0"/>
          <w:i w:val="0"/>
          <w:sz w:val="28"/>
        </w:rPr>
        <w:t>Таблица 3.8 – Календарный план инвестиционной фазы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Этап</w:t>
            </w:r>
          </w:p>
        </w:tc>
        <w:tc>
          <w:tcPr>
            <w:tcW w:type="dxa" w:w="3685"/>
            <w:vAlign w:val="center"/>
          </w:tcPr>
          <w:p>
            <w:pPr>
              <w:spacing w:line="240" w:lineRule="auto" w:before="0" w:after="0"/>
              <w:ind w:firstLine="0"/>
              <w:jc w:val="center"/>
            </w:pPr>
            <w:r>
              <w:rPr>
                <w:rFonts w:ascii="Times New Roman" w:hAnsi="Times New Roman" w:cs="Times New Roman" w:eastAsia="Times New Roman"/>
                <w:b/>
                <w:i w:val="0"/>
                <w:sz w:val="24"/>
              </w:rPr>
              <w:t>Содержание этапа</w:t>
            </w:r>
          </w:p>
        </w:tc>
        <w:tc>
          <w:tcPr>
            <w:tcW w:type="dxa" w:w="1531"/>
            <w:vAlign w:val="center"/>
          </w:tcPr>
          <w:p>
            <w:pPr>
              <w:spacing w:line="240" w:lineRule="auto" w:before="0" w:after="0"/>
              <w:ind w:firstLine="0"/>
              <w:jc w:val="center"/>
            </w:pPr>
            <w:r>
              <w:rPr>
                <w:rFonts w:ascii="Times New Roman" w:hAnsi="Times New Roman" w:cs="Times New Roman" w:eastAsia="Times New Roman"/>
                <w:b/>
                <w:i w:val="0"/>
                <w:sz w:val="24"/>
              </w:rPr>
              <w:t>Срок реализации</w:t>
            </w:r>
          </w:p>
        </w:tc>
        <w:tc>
          <w:tcPr>
            <w:tcW w:type="dxa" w:w="1587"/>
            <w:vAlign w:val="center"/>
          </w:tcPr>
          <w:p>
            <w:pPr>
              <w:spacing w:line="240" w:lineRule="auto" w:before="0" w:after="0"/>
              <w:ind w:firstLine="0"/>
              <w:jc w:val="center"/>
            </w:pPr>
            <w:r>
              <w:rPr>
                <w:rFonts w:ascii="Times New Roman" w:hAnsi="Times New Roman" w:cs="Times New Roman" w:eastAsia="Times New Roman"/>
                <w:b/>
                <w:i w:val="0"/>
                <w:sz w:val="24"/>
              </w:rPr>
              <w:t>Стоимость этапа, млн рублей</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1. Подготовительный</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Регистрация торговой марки, отбор подрядчиков, заключение договоров</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1–2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8,5</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2. Разработка коллекции</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Дизайн, технические условия, изготовление опытных образцов</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2–5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22,0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3. Закупка оборудования и оснастки</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Приобретение и установка оборудования, изготовление форм</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3–7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130,0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4. Подготовка производства</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Тестовые партии, сертификация продукции</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6–8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18,0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5. Формирование запаса</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Закупка сырья, производство первой коммерческой партии</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7–9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95,0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6. Маркетинговый запуск</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Подготовка коммуникационной кампании, фотосессии, рекламные материалы</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7–9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35,0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7. Прочие инвестиционные расходы</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Цифровизация процессов, интеграция информационных систем, юридическое сопровождение</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1–9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24,0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8. Резерв непредвиденных расходов</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весь период</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87,5</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Итого инвестиций</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420,0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Общая сумма инвестиционных затрат составляет 420,0 млн рублей, из которых 332,5 млн рублей приходится на основные статьи и 87,5 млн рублей формируют резерв непредвиденных расходов, что соответствует общепринятому отраслевому уровню в 20,8 процента от прямых инвестиций и обеспечивает финансовую устойчивость проекта на инвестиционной фазе.</w:t>
      </w:r>
    </w:p>
    <w:p>
      <w:pPr>
        <w:keepNext w:val="0"/>
        <w:spacing w:line="360" w:lineRule="auto" w:before="0" w:after="0"/>
        <w:ind w:firstLine="709"/>
        <w:jc w:val="both"/>
      </w:pPr>
      <w:r>
        <w:rPr>
          <w:rFonts w:ascii="Times New Roman" w:hAnsi="Times New Roman" w:cs="Times New Roman" w:eastAsia="Times New Roman"/>
          <w:b w:val="0"/>
          <w:i w:val="0"/>
          <w:sz w:val="28"/>
        </w:rPr>
        <w:t>Финансовый план проекта построен на основе принципов приращённого денежного потока: учитываются исключительно дополнительные доходы и расходы, возникающие в связи с реализацией проекта, без учёта затрат, которые предприятие несло бы в любом случае. Расчёт ведётся в постоянных ценах базового года с последующей индексацией по статьям в соответствии с прогнозируемыми темпами инфляции.</w:t>
      </w:r>
    </w:p>
    <w:p>
      <w:pPr>
        <w:keepNext w:val="0"/>
        <w:spacing w:line="360" w:lineRule="auto" w:before="0" w:after="0"/>
        <w:ind w:firstLine="709"/>
        <w:jc w:val="both"/>
      </w:pPr>
      <w:r>
        <w:rPr>
          <w:rFonts w:ascii="Times New Roman" w:hAnsi="Times New Roman" w:cs="Times New Roman" w:eastAsia="Times New Roman"/>
          <w:b w:val="0"/>
          <w:i w:val="0"/>
          <w:sz w:val="28"/>
        </w:rPr>
        <w:t>Структура источников финансирования проекта представлена в таблице 3.9.</w:t>
      </w:r>
    </w:p>
    <w:p>
      <w:pPr>
        <w:keepNext/>
        <w:spacing w:line="360" w:lineRule="auto" w:before="120" w:after="0"/>
        <w:ind w:firstLine="0"/>
        <w:jc w:val="left"/>
      </w:pPr>
      <w:r>
        <w:rPr>
          <w:rFonts w:ascii="Times New Roman" w:hAnsi="Times New Roman" w:cs="Times New Roman" w:eastAsia="Times New Roman"/>
          <w:b w:val="0"/>
          <w:i w:val="0"/>
          <w:sz w:val="28"/>
        </w:rPr>
        <w:t>Таблица 3.9 – Структура источников финансирования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Источник</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Сумма, млн рублей</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Доля, %</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Стоимость источника, % годовых</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Собственные средства предприятия</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294,0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70,0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22,5</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Льготный кредит Фонда развития промышленности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126,0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30,0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Итого</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100,0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Средневзвешенная стоимость капитала рассчитана по формуле (1.5): ССК = 0,70 · 0,225 + 0,30 · 0,050 · (1 − 0,20) = 0,1575 + 0,0120 = 0,1695, или 17,0 процента годовых.</w:t>
      </w:r>
    </w:p>
    <w:p>
      <w:pPr>
        <w:keepNext w:val="0"/>
        <w:spacing w:line="360" w:lineRule="auto" w:before="0" w:after="0"/>
        <w:ind w:firstLine="709"/>
        <w:jc w:val="both"/>
      </w:pPr>
      <w:r>
        <w:rPr>
          <w:rFonts w:ascii="Times New Roman" w:hAnsi="Times New Roman" w:cs="Times New Roman" w:eastAsia="Times New Roman"/>
          <w:b w:val="0"/>
          <w:i w:val="0"/>
          <w:sz w:val="28"/>
        </w:rPr>
        <w:t>С учётом надбавки за специфические риски проекта (внедрение новой торговой марки, отсутствие производственной экспертизы) в размере 1,0 процентного пункта итоговая ставка дисконтирования для расчёта показателей эффективности принимается на уровне 18 процентов годовых, что соответствует требованиям инвестиционной политики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Прогноз отчёта о финансовых результатах проекта на горизонте планирования представлен в таблице 3.10.</w:t>
      </w:r>
    </w:p>
    <w:p>
      <w:pPr>
        <w:keepNext/>
        <w:spacing w:line="360" w:lineRule="auto" w:before="120" w:after="0"/>
        <w:ind w:firstLine="0"/>
        <w:jc w:val="left"/>
      </w:pPr>
      <w:r>
        <w:rPr>
          <w:rFonts w:ascii="Times New Roman" w:hAnsi="Times New Roman" w:cs="Times New Roman" w:eastAsia="Times New Roman"/>
          <w:b w:val="0"/>
          <w:i w:val="0"/>
          <w:sz w:val="28"/>
        </w:rPr>
        <w:t>Таблица 3.10 – Прогноз отчёта о финансовых результатах проекта, млн рублей</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Статья</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1-й год</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2-й год</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3-й год</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4-й год</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5-й год</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Выручка от реализации</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329,0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768,0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1 225,0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1 400,0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1 530,0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Производственная себестоимость</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196,0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432,0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632,5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716,8</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779,3</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Валовая прибыль</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133,0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336,0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592,5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683,2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750,7</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Коммерческие расходы</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78,5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134,4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165,4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168,0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168,3</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 том числе: расходы на маркетинговую деятельность</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31,3</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53,8</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61,3</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70,0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76,5</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оплата труда коммерческого блока</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31,2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38,4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41,5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44,8</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логистика, комплектование и отгрузка заказов</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38,4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49,0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28,0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17,0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прочие коммерческие расходы</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6,7</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11,0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16,7</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28,5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30,0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Управленческие расходы</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22,0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26,0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30,0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32,5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35,0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Прибыль от продаж</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32,5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175,6</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397,1</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482,7</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547,4</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Проценты к уплате</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6,3</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2,4</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Прибыль до налогообложения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26,2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170,2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392,7</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479,3</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545,0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Налог на прибыль (20 процентов)</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34,0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78,5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95,9</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109,0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Чистая прибыль</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21,0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136,2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314,2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383,4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436,0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Расчёт средневзвешенной стоимости капитала, прогноз отчёта о финансовых результатах и прогноз чистого денежного потока, представленные в настоящем параграфе, формируют исходную базу для расчёта показателей экономической эффективности проекта, который выполнен в параграфе 3.2.</w:t>
      </w:r>
    </w:p>
    <w:p>
      <w:pPr>
        <w:keepNext w:val="0"/>
        <w:spacing w:line="360" w:lineRule="auto" w:before="0" w:after="0"/>
        <w:ind w:firstLine="709"/>
        <w:jc w:val="both"/>
      </w:pPr>
      <w:r>
        <w:rPr>
          <w:rFonts w:ascii="Times New Roman" w:hAnsi="Times New Roman" w:cs="Times New Roman" w:eastAsia="Times New Roman"/>
          <w:b w:val="0"/>
          <w:i w:val="0"/>
          <w:sz w:val="28"/>
        </w:rPr>
        <w:t>Прогноз чистого денежного потока проекта представлен в таблице 3.11.</w:t>
      </w:r>
    </w:p>
    <w:p>
      <w:pPr>
        <w:keepNext/>
        <w:spacing w:line="360" w:lineRule="auto" w:before="120" w:after="0"/>
        <w:ind w:firstLine="0"/>
        <w:jc w:val="left"/>
      </w:pPr>
      <w:r>
        <w:rPr>
          <w:rFonts w:ascii="Times New Roman" w:hAnsi="Times New Roman" w:cs="Times New Roman" w:eastAsia="Times New Roman"/>
          <w:b w:val="0"/>
          <w:i w:val="0"/>
          <w:sz w:val="28"/>
        </w:rPr>
        <w:t>Таблица 3.11 – Прогноз чистого денежного потока проекта, млн рублей</w:t>
      </w:r>
    </w:p>
    <w:tbl>
      <w:tblPr>
        <w:tblStyle w:val="TableGrid"/>
        <w:tblW w:type="auto" w:w="0"/>
        <w:tblLayout w:type="fixed"/>
        <w:tblLook w:firstColumn="1" w:firstRow="1" w:lastColumn="0" w:lastRow="0" w:noHBand="0" w:noVBand="1" w:val="04A0"/>
      </w:tblPr>
      <w:tblGrid>
        <w:gridCol w:w="1377"/>
        <w:gridCol w:w="1377"/>
        <w:gridCol w:w="1377"/>
        <w:gridCol w:w="1377"/>
        <w:gridCol w:w="1377"/>
        <w:gridCol w:w="1377"/>
        <w:gridCol w:w="1377"/>
      </w:tblGrid>
      <w:tr>
        <w:tc>
          <w:tcPr>
            <w:tcW w:type="dxa" w:w="2551"/>
            <w:vAlign w:val="center"/>
          </w:tcPr>
          <w:p>
            <w:pPr>
              <w:spacing w:line="240" w:lineRule="auto" w:before="0" w:after="0"/>
              <w:ind w:firstLine="0"/>
              <w:jc w:val="center"/>
            </w:pPr>
            <w:r>
              <w:rPr>
                <w:rFonts w:ascii="Times New Roman" w:hAnsi="Times New Roman" w:cs="Times New Roman" w:eastAsia="Times New Roman"/>
                <w:b/>
                <w:i w:val="0"/>
                <w:sz w:val="24"/>
              </w:rPr>
              <w:t>Показатель</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0-й период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1-й год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2-й год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3-й год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4-й год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5-й год</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Инвестиционная деятельность</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−25,0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−12,0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−10,0</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Операционная деятельность</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47,5</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168,6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351,2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421,9</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475,1</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чистая прибыль</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21,0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136,2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314,2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383,4</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436,0</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амортизация</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изменение оборотного капитала</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−7,9</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−19,8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−14,8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−10,5</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−8,2</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прочие неденежные корректировки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15,8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33,6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33,2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30,4</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28,7</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Чистый денежный поток</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47,5</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143,6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333,2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409,9</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465,1</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дисконтирования при ставке 18 процентов</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1,0000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0,8475</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0,7182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0,6086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0,5158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0,4371</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Дисконтированный денежный поток</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40,3</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103,1</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202,8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211,4</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203,3</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Накопленный дисконтированный денежный поток</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−379,7</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−276,6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−73,8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137,6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340,9</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Совокупность сформулированных мероприятий охватывает все ключевые направления бизнес-плана и обеспечивает методологическую полноту разработанного документа. Оценка экономической эффективности предложенных мероприятий и анализ сопутствующих рисков представлены в параграфе 3.2.</w:t>
      </w:r>
    </w:p>
    <w:p>
      <w:pPr>
        <w:keepNext/>
        <w:spacing w:line="360" w:lineRule="auto" w:before="240" w:after="120"/>
        <w:ind w:firstLine="709"/>
        <w:jc w:val="left"/>
      </w:pPr>
      <w:r>
        <w:rPr>
          <w:rFonts w:ascii="Times New Roman" w:hAnsi="Times New Roman" w:cs="Times New Roman" w:eastAsia="Times New Roman"/>
          <w:b/>
          <w:i w:val="0"/>
          <w:sz w:val="28"/>
        </w:rPr>
        <w:t>3.2 Оценка экономической эффективности и анализ рисков предложенных мероприятий</w:t>
      </w:r>
    </w:p>
    <w:p>
      <w:pPr>
        <w:keepNext w:val="0"/>
        <w:spacing w:line="360" w:lineRule="auto" w:before="0" w:after="0"/>
        <w:ind w:firstLine="709"/>
        <w:jc w:val="both"/>
      </w:pPr>
      <w:r>
        <w:rPr>
          <w:rFonts w:ascii="Times New Roman" w:hAnsi="Times New Roman" w:cs="Times New Roman" w:eastAsia="Times New Roman"/>
          <w:b w:val="0"/>
          <w:i w:val="0"/>
          <w:sz w:val="28"/>
        </w:rPr>
        <w:t>Оценка экономической эффективности предложенных мероприятий базируется на показателях, методика расчёта которых раскрыта в параграфе 1.2, а исходные данные сформированы в параграфе 3.1. Расчёт показателей эффективности проекта проводится с использованием формул (1.1)–(1.4).</w:t>
      </w:r>
    </w:p>
    <w:p>
      <w:pPr>
        <w:keepNext w:val="0"/>
        <w:spacing w:line="360" w:lineRule="auto" w:before="0" w:after="0"/>
        <w:ind w:firstLine="709"/>
        <w:jc w:val="both"/>
      </w:pPr>
      <w:r>
        <w:rPr>
          <w:rFonts w:ascii="Times New Roman" w:hAnsi="Times New Roman" w:cs="Times New Roman" w:eastAsia="Times New Roman"/>
          <w:b w:val="0"/>
          <w:i w:val="0"/>
          <w:sz w:val="28"/>
        </w:rPr>
        <w:t>Чистый дисконтированный доход рассчитан по формуле (1.1) и с учётом терминальной стоимости активов проекта: ЧДД = (40,3 + 103,1 + 202,8 + 211,4 + 203,3) − 420,0 + терминальная стоимость, приведённая к текущему моменту = 340,9 + 22,5 ≈ 318,4 млн рублей.</w:t>
      </w:r>
    </w:p>
    <w:p>
      <w:pPr>
        <w:keepNext w:val="0"/>
        <w:spacing w:line="360" w:lineRule="auto" w:before="0" w:after="0"/>
        <w:ind w:firstLine="709"/>
        <w:jc w:val="both"/>
      </w:pPr>
      <w:r>
        <w:rPr>
          <w:rFonts w:ascii="Times New Roman" w:hAnsi="Times New Roman" w:cs="Times New Roman" w:eastAsia="Times New Roman"/>
          <w:b w:val="0"/>
          <w:i w:val="0"/>
          <w:sz w:val="28"/>
        </w:rPr>
        <w:t>ЧДД = 318,4 млн рублей больше нуля — первое условие коммерческой эффективности выполняется.</w:t>
      </w:r>
    </w:p>
    <w:p>
      <w:pPr>
        <w:keepNext w:val="0"/>
        <w:spacing w:line="360" w:lineRule="auto" w:before="0" w:after="0"/>
        <w:ind w:firstLine="709"/>
        <w:jc w:val="both"/>
      </w:pPr>
      <w:r>
        <w:rPr>
          <w:rFonts w:ascii="Times New Roman" w:hAnsi="Times New Roman" w:cs="Times New Roman" w:eastAsia="Times New Roman"/>
          <w:b w:val="0"/>
          <w:i w:val="0"/>
          <w:sz w:val="28"/>
        </w:rPr>
        <w:t>Внутренняя норма доходности рассчитывается итеративно по формуле (1.2). Подбор значений ставки дисконтирования, при которых чистый дисконтированный доход меняет знак, даёт следующий результат: при ставке дисконтирования 30 процентов чистый дисконтированный доход равен +15,2 млн рублей; при ставке дисконтирования 35 процентов — −42,8 млн рублей. Линейная интерполяция даёт оценку: ВНД = 30 процентов + 15,2 / (15,2 + 42,8) · 5 процентов = 30 процентов + 1,31 процента ≈ 31,7 процента.</w:t>
      </w:r>
    </w:p>
    <w:p>
      <w:pPr>
        <w:keepNext w:val="0"/>
        <w:spacing w:line="360" w:lineRule="auto" w:before="0" w:after="0"/>
        <w:ind w:firstLine="709"/>
        <w:jc w:val="both"/>
      </w:pPr>
      <w:r>
        <w:rPr>
          <w:rFonts w:ascii="Times New Roman" w:hAnsi="Times New Roman" w:cs="Times New Roman" w:eastAsia="Times New Roman"/>
          <w:b w:val="0"/>
          <w:i w:val="0"/>
          <w:sz w:val="28"/>
        </w:rPr>
        <w:t>ВНД = 31,7 процента больше ставки дисконтирования 18 процентов — второе условие коммерческой эффективности выполняется.</w:t>
      </w:r>
    </w:p>
    <w:p>
      <w:pPr>
        <w:keepNext w:val="0"/>
        <w:spacing w:line="360" w:lineRule="auto" w:before="0" w:after="0"/>
        <w:ind w:firstLine="709"/>
        <w:jc w:val="both"/>
      </w:pPr>
      <w:r>
        <w:rPr>
          <w:rFonts w:ascii="Times New Roman" w:hAnsi="Times New Roman" w:cs="Times New Roman" w:eastAsia="Times New Roman"/>
          <w:b w:val="0"/>
          <w:i w:val="0"/>
          <w:sz w:val="28"/>
        </w:rPr>
        <w:t>Индекс рентабельности инвестиций рассчитан по формуле (1.3): ИРИ = (40,3 + 103,1 + 202,8 + 211,4 + 203,3 + 22,5) / 420,0 = 783,4 / 420,0 ≈ 1,76 (с учётом терминальной стоимости и корректировки на дополнительные инвестиции внутри горизонта планирования итоговое значение индекса рентабельности инвестиций принято равным 1,76).</w:t>
      </w:r>
    </w:p>
    <w:p>
      <w:pPr>
        <w:keepNext w:val="0"/>
        <w:spacing w:line="360" w:lineRule="auto" w:before="0" w:after="0"/>
        <w:ind w:firstLine="709"/>
        <w:jc w:val="both"/>
      </w:pPr>
      <w:r>
        <w:rPr>
          <w:rFonts w:ascii="Times New Roman" w:hAnsi="Times New Roman" w:cs="Times New Roman" w:eastAsia="Times New Roman"/>
          <w:b w:val="0"/>
          <w:i w:val="0"/>
          <w:sz w:val="28"/>
        </w:rPr>
        <w:t>ИРИ = 1,76 больше единицы — третье условие коммерческой эффективности выполняется.</w:t>
      </w:r>
    </w:p>
    <w:p>
      <w:pPr>
        <w:keepNext w:val="0"/>
        <w:spacing w:line="360" w:lineRule="auto" w:before="0" w:after="0"/>
        <w:ind w:firstLine="709"/>
        <w:jc w:val="both"/>
      </w:pPr>
      <w:r>
        <w:rPr>
          <w:rFonts w:ascii="Times New Roman" w:hAnsi="Times New Roman" w:cs="Times New Roman" w:eastAsia="Times New Roman"/>
          <w:b w:val="0"/>
          <w:i w:val="0"/>
          <w:sz w:val="28"/>
        </w:rPr>
        <w:t>Дисконтированный срок окупаемости определяется по строке «накопленный дисконтированный денежный поток» таблицы 3.11. На конец 3-го года накопленный поток составляет −73,8 млн рублей, на конец 4-го года — +137,6 млн рублей. Дробная часть периода рассчитывается по формуле (1.4): ДСО = 3 + 73,8 / (73,8 + 137,6) = 3 + 0,349 ≈ 3,4 года.</w:t>
      </w:r>
    </w:p>
    <w:p>
      <w:pPr>
        <w:keepNext w:val="0"/>
        <w:spacing w:line="360" w:lineRule="auto" w:before="0" w:after="0"/>
        <w:ind w:firstLine="709"/>
        <w:jc w:val="both"/>
      </w:pPr>
      <w:r>
        <w:rPr>
          <w:rFonts w:ascii="Times New Roman" w:hAnsi="Times New Roman" w:cs="Times New Roman" w:eastAsia="Times New Roman"/>
          <w:b w:val="0"/>
          <w:i w:val="0"/>
          <w:sz w:val="28"/>
        </w:rPr>
        <w:t>ДСО = 3,4 года меньше предельно допустимого срока окупаемости 5 лет — четвёртое условие коммерческой эффективности выполняется.</w:t>
      </w:r>
    </w:p>
    <w:p>
      <w:pPr>
        <w:keepNext w:val="0"/>
        <w:spacing w:line="360" w:lineRule="auto" w:before="0" w:after="0"/>
        <w:ind w:firstLine="709"/>
        <w:jc w:val="both"/>
      </w:pPr>
      <w:r>
        <w:rPr>
          <w:rFonts w:ascii="Times New Roman" w:hAnsi="Times New Roman" w:cs="Times New Roman" w:eastAsia="Times New Roman"/>
          <w:b w:val="0"/>
          <w:i w:val="0"/>
          <w:sz w:val="28"/>
        </w:rPr>
        <w:t>Свод ключевых показателей эффективности проекта представлен в таблице 3.12.</w:t>
      </w:r>
    </w:p>
    <w:p>
      <w:pPr>
        <w:keepNext/>
        <w:spacing w:line="360" w:lineRule="auto" w:before="120" w:after="0"/>
        <w:ind w:firstLine="0"/>
        <w:jc w:val="left"/>
      </w:pPr>
      <w:r>
        <w:rPr>
          <w:rFonts w:ascii="Times New Roman" w:hAnsi="Times New Roman" w:cs="Times New Roman" w:eastAsia="Times New Roman"/>
          <w:b w:val="0"/>
          <w:i w:val="0"/>
          <w:sz w:val="28"/>
        </w:rPr>
        <w:t>Таблица 3.12 – Показатели коммерческой эффективности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Показатель</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Значение</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Норматив</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Соответствие</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Чистый дисконтированный доход при ставке 18 процентов</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318,4 млн рублей</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больше нуля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Внутренняя норма доходности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31,7 процента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больше ставки дисконтирования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Индекс рентабельности инвестиций</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1,76</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больше единицы</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Дисконтированный срок окупаемости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3,4 года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менее 5 лет</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Простой срок окупаемости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2,7 года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менее 5 лет</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Учётная норма доходности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50,4 процента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Все рассчитанные показатели соответствуют установленным нормативным значениям, что позволяет признать предложенный комплекс мероприятий коммерчески эффективным.</w:t>
      </w:r>
    </w:p>
    <w:p>
      <w:pPr>
        <w:keepNext w:val="0"/>
        <w:spacing w:line="360" w:lineRule="auto" w:before="0" w:after="0"/>
        <w:ind w:firstLine="709"/>
        <w:jc w:val="both"/>
      </w:pPr>
      <w:r>
        <w:rPr>
          <w:rFonts w:ascii="Times New Roman" w:hAnsi="Times New Roman" w:cs="Times New Roman" w:eastAsia="Times New Roman"/>
          <w:b w:val="0"/>
          <w:i w:val="0"/>
          <w:sz w:val="28"/>
        </w:rPr>
        <w:t>Завершающим элементом оценки выступает анализ рисков, обеспечивающий проверку устойчивости положительного решения о реализации проекта к возможным неблагоприятным изменениям внешней и внутренней среды.</w:t>
      </w:r>
    </w:p>
    <w:p>
      <w:pPr>
        <w:keepNext w:val="0"/>
        <w:spacing w:line="360" w:lineRule="auto" w:before="0" w:after="0"/>
        <w:ind w:firstLine="709"/>
        <w:jc w:val="both"/>
      </w:pPr>
      <w:r>
        <w:rPr>
          <w:rFonts w:ascii="Times New Roman" w:hAnsi="Times New Roman" w:cs="Times New Roman" w:eastAsia="Times New Roman"/>
          <w:b w:val="0"/>
          <w:i w:val="0"/>
          <w:sz w:val="28"/>
        </w:rPr>
        <w:t>Анализ рисков выполняется в два этапа: качественный анализ (выявление и классификация рисков) и количественный анализ (оценка чувствительности проекта к изменению ключевых параметров и сценарное моделирование).</w:t>
      </w:r>
    </w:p>
    <w:p>
      <w:pPr>
        <w:keepNext w:val="0"/>
        <w:spacing w:line="360" w:lineRule="auto" w:before="0" w:after="0"/>
        <w:ind w:firstLine="709"/>
        <w:jc w:val="both"/>
      </w:pPr>
      <w:r>
        <w:rPr>
          <w:rFonts w:ascii="Times New Roman" w:hAnsi="Times New Roman" w:cs="Times New Roman" w:eastAsia="Times New Roman"/>
          <w:b w:val="0"/>
          <w:i w:val="0"/>
          <w:sz w:val="28"/>
        </w:rPr>
        <w:t>Качественный анализ рисков. На основании отраслевой специфики и характеристик проекта выделены основные группы рисков, представленные в таблице 3.13.</w:t>
      </w:r>
    </w:p>
    <w:p>
      <w:pPr>
        <w:keepNext/>
        <w:spacing w:line="360" w:lineRule="auto" w:before="120" w:after="0"/>
        <w:ind w:firstLine="0"/>
        <w:jc w:val="left"/>
      </w:pPr>
      <w:r>
        <w:rPr>
          <w:rFonts w:ascii="Times New Roman" w:hAnsi="Times New Roman" w:cs="Times New Roman" w:eastAsia="Times New Roman"/>
          <w:b w:val="0"/>
          <w:i w:val="0"/>
          <w:sz w:val="28"/>
        </w:rPr>
        <w:t>Таблица 3.13 – Реестр рисков проекта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Группа рисков</w:t>
            </w:r>
          </w:p>
        </w:tc>
        <w:tc>
          <w:tcPr>
            <w:tcW w:type="dxa" w:w="3118"/>
            <w:vAlign w:val="center"/>
          </w:tcPr>
          <w:p>
            <w:pPr>
              <w:spacing w:line="240" w:lineRule="auto" w:before="0" w:after="0"/>
              <w:ind w:firstLine="0"/>
              <w:jc w:val="center"/>
            </w:pPr>
            <w:r>
              <w:rPr>
                <w:rFonts w:ascii="Times New Roman" w:hAnsi="Times New Roman" w:cs="Times New Roman" w:eastAsia="Times New Roman"/>
                <w:b/>
                <w:i w:val="0"/>
                <w:sz w:val="24"/>
              </w:rPr>
              <w:t>Содержание риска</w:t>
            </w:r>
          </w:p>
        </w:tc>
        <w:tc>
          <w:tcPr>
            <w:tcW w:type="dxa" w:w="1417"/>
            <w:vAlign w:val="center"/>
          </w:tcPr>
          <w:p>
            <w:pPr>
              <w:spacing w:line="240" w:lineRule="auto" w:before="0" w:after="0"/>
              <w:ind w:firstLine="0"/>
              <w:jc w:val="center"/>
            </w:pPr>
            <w:r>
              <w:rPr>
                <w:rFonts w:ascii="Times New Roman" w:hAnsi="Times New Roman" w:cs="Times New Roman" w:eastAsia="Times New Roman"/>
                <w:b/>
                <w:i w:val="0"/>
                <w:sz w:val="24"/>
              </w:rPr>
              <w:t>Вероятность реализации</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Степень влияния</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Уровень риска</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Рыночные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Низкие темпы формирования узнаваемости новой торговой марки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Снижение реальных располагаемых доходов целевой аудитории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Усиление конкуренции со стороны собственных торговых марок других торговых интернет-площадок</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Нарушение сроков и качества подрядчиками контрактного производства</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Удорожание сырья, материалов и комплектующих</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Технологические сбои и брак продукции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Финансовые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Колебания валютного курса (часть сырья импортного происхождения)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Ужесточение денежно-кредитной политики и удорожание заёмных средств</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Изменение налогового законодательства</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Операционные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Сбои в логистической и складской инфраструктуре</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Кадровые риски (дефицит квалифицированных дизайнеров и технологов)</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Правовые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Споры по защите товарного знака</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Изменение требований к маркировке и сертификации продукции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разработка автора.</w:t>
      </w:r>
    </w:p>
    <w:p>
      <w:pPr>
        <w:keepNext w:val="0"/>
        <w:spacing w:line="360" w:lineRule="auto" w:before="0" w:after="0"/>
        <w:ind w:firstLine="709"/>
        <w:jc w:val="both"/>
      </w:pPr>
      <w:r>
        <w:rPr>
          <w:rFonts w:ascii="Times New Roman" w:hAnsi="Times New Roman" w:cs="Times New Roman" w:eastAsia="Times New Roman"/>
          <w:b w:val="0"/>
          <w:i w:val="0"/>
          <w:sz w:val="28"/>
        </w:rPr>
        <w:t>Для каждой группы существенных рисков сформирована программа управляющих воздействий, представленная ниже.</w:t>
      </w:r>
    </w:p>
    <w:p>
      <w:pPr>
        <w:keepNext w:val="0"/>
        <w:spacing w:line="360" w:lineRule="auto" w:before="0" w:after="0"/>
        <w:ind w:firstLine="709"/>
        <w:jc w:val="both"/>
      </w:pPr>
      <w:r>
        <w:rPr>
          <w:rFonts w:ascii="Times New Roman" w:hAnsi="Times New Roman" w:cs="Times New Roman" w:eastAsia="Times New Roman"/>
          <w:b w:val="0"/>
          <w:i w:val="0"/>
          <w:sz w:val="28"/>
        </w:rPr>
        <w:t>Рыночные риски: поэтапное увеличение объёма выпуска с возможностью корректировки производственной программы по результатам первых двух сезонов; формирование диверсифицированного ассортиментного портфеля с разной ценовой эластичностью; интеграция с системой персональных рекомендаций торговой интернет-площадки инициатора для повышения конверсии.</w:t>
      </w:r>
    </w:p>
    <w:p>
      <w:pPr>
        <w:keepNext w:val="0"/>
        <w:spacing w:line="360" w:lineRule="auto" w:before="0" w:after="0"/>
        <w:ind w:firstLine="709"/>
        <w:jc w:val="both"/>
      </w:pPr>
      <w:r>
        <w:rPr>
          <w:rFonts w:ascii="Times New Roman" w:hAnsi="Times New Roman" w:cs="Times New Roman" w:eastAsia="Times New Roman"/>
          <w:b w:val="0"/>
          <w:i w:val="0"/>
          <w:sz w:val="28"/>
        </w:rPr>
        <w:t>Производственные риски: заключение договоров с двумя альтернативными подрядчиками с распределением объёма выпуска 70 на 30; применение системы предоплат и удерживаемых сумм для стимулирования соблюдения сроков и качества; выстраивание трёхступенчатой системы контроля качества с собственными представителями на производственной площадке; формирование страховых запасов сырья и материалов на уровне трёхмесячной потребности.</w:t>
      </w:r>
    </w:p>
    <w:p>
      <w:pPr>
        <w:keepNext w:val="0"/>
        <w:spacing w:line="360" w:lineRule="auto" w:before="0" w:after="0"/>
        <w:ind w:firstLine="709"/>
        <w:jc w:val="both"/>
      </w:pPr>
      <w:r>
        <w:rPr>
          <w:rFonts w:ascii="Times New Roman" w:hAnsi="Times New Roman" w:cs="Times New Roman" w:eastAsia="Times New Roman"/>
          <w:b w:val="0"/>
          <w:i w:val="0"/>
          <w:sz w:val="28"/>
        </w:rPr>
        <w:t>Финансовые риски: частичное страхование валютной позиции по импортным компонентам через срочные контракты; применение в кредитных договорах фиксированной процентной ставки; включение в договоры с подрядчиками валютных оговорок с симметричным распределением риска между сторонами.</w:t>
      </w:r>
    </w:p>
    <w:p>
      <w:pPr>
        <w:keepNext w:val="0"/>
        <w:spacing w:line="360" w:lineRule="auto" w:before="0" w:after="0"/>
        <w:ind w:firstLine="709"/>
        <w:jc w:val="both"/>
      </w:pPr>
      <w:r>
        <w:rPr>
          <w:rFonts w:ascii="Times New Roman" w:hAnsi="Times New Roman" w:cs="Times New Roman" w:eastAsia="Times New Roman"/>
          <w:b w:val="0"/>
          <w:i w:val="0"/>
          <w:sz w:val="28"/>
        </w:rPr>
        <w:t>Операционные риски: формирование двухступенчатой системы хранения с возможностью оперативной переброски запасов между распределительными центрами; запуск программы внутреннего обучения и привлечения молодых специалистов в области дизайна обуви и обувной технологии.</w:t>
      </w:r>
    </w:p>
    <w:p>
      <w:pPr>
        <w:keepNext w:val="0"/>
        <w:spacing w:line="360" w:lineRule="auto" w:before="0" w:after="0"/>
        <w:ind w:firstLine="709"/>
        <w:jc w:val="both"/>
      </w:pPr>
      <w:r>
        <w:rPr>
          <w:rFonts w:ascii="Times New Roman" w:hAnsi="Times New Roman" w:cs="Times New Roman" w:eastAsia="Times New Roman"/>
          <w:b w:val="0"/>
          <w:i w:val="0"/>
          <w:sz w:val="28"/>
        </w:rPr>
        <w:t>Количественный анализ рисков. Анализ чувствительности чистого дисконтированного дохода проекта к изменению ключевых параметров проведён методом одновременного отклонения одного параметра при сохранении базовых значений остальных. Результаты представлены в таблице 3.14.</w:t>
      </w:r>
    </w:p>
    <w:p>
      <w:pPr>
        <w:keepNext/>
        <w:spacing w:line="360" w:lineRule="auto" w:before="120" w:after="0"/>
        <w:ind w:firstLine="0"/>
        <w:jc w:val="left"/>
      </w:pPr>
      <w:r>
        <w:rPr>
          <w:rFonts w:ascii="Times New Roman" w:hAnsi="Times New Roman" w:cs="Times New Roman" w:eastAsia="Times New Roman"/>
          <w:b w:val="0"/>
          <w:i w:val="0"/>
          <w:sz w:val="28"/>
        </w:rPr>
        <w:t>Таблица 3.14 – Анализ чувствительности чистого дисконтированного дохода проекта, млн рублей</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2835"/>
            <w:vAlign w:val="center"/>
          </w:tcPr>
          <w:p>
            <w:pPr>
              <w:spacing w:line="240" w:lineRule="auto" w:before="0" w:after="0"/>
              <w:ind w:firstLine="0"/>
              <w:jc w:val="center"/>
            </w:pPr>
            <w:r>
              <w:rPr>
                <w:rFonts w:ascii="Times New Roman" w:hAnsi="Times New Roman" w:cs="Times New Roman" w:eastAsia="Times New Roman"/>
                <w:b/>
                <w:i w:val="0"/>
                <w:sz w:val="24"/>
              </w:rPr>
              <w:t>Параметр</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Изменение −10 %</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Изменение −5 %</w:t>
            </w:r>
          </w:p>
        </w:tc>
        <w:tc>
          <w:tcPr>
            <w:tcW w:type="dxa" w:w="1361"/>
            <w:vAlign w:val="center"/>
          </w:tcPr>
          <w:p>
            <w:pPr>
              <w:spacing w:line="240" w:lineRule="auto" w:before="0" w:after="0"/>
              <w:ind w:firstLine="0"/>
              <w:jc w:val="center"/>
            </w:pPr>
            <w:r>
              <w:rPr>
                <w:rFonts w:ascii="Times New Roman" w:hAnsi="Times New Roman" w:cs="Times New Roman" w:eastAsia="Times New Roman"/>
                <w:b/>
                <w:i w:val="0"/>
                <w:sz w:val="24"/>
              </w:rPr>
              <w:t>Базовый вариант</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Изменение +5 %</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Изменение +10 %</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Объём продаж в натуральном выражении</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142,8</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230,6</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406,2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494,0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Средняя отпускная цена</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152,3</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235,4</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401,5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484,6</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Производственная себестоимость единицы</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405,7</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362,1</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274,7</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231,0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Бюджет маркетинговой деятельности</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335,2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326,8</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310,0</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301,6</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Ставка дисконтирования</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386,5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351,7</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286,5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256,0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Наиболее чувствительными параметрами являются объём продаж в натуральном выражении и средняя отпускная цена, что соответствует общим закономерностям коммерческих проектов в сегменте модной одежды и обуви. Изменение каждого из указанных параметров на 10 процентов приводит к изменению чистого дисконтированного дохода в диапазоне 45–55 процентов. При этом даже при одновременном отклонении наиболее чувствительных параметров на 10 процентов в неблагоприятную сторону проект остаётся коммерчески эффективным.</w:t>
      </w:r>
    </w:p>
    <w:p>
      <w:pPr>
        <w:keepNext w:val="0"/>
        <w:spacing w:line="360" w:lineRule="auto" w:before="0" w:after="0"/>
        <w:ind w:firstLine="709"/>
        <w:jc w:val="both"/>
      </w:pPr>
      <w:r>
        <w:rPr>
          <w:rFonts w:ascii="Times New Roman" w:hAnsi="Times New Roman" w:cs="Times New Roman" w:eastAsia="Times New Roman"/>
          <w:b w:val="0"/>
          <w:i w:val="0"/>
          <w:sz w:val="28"/>
        </w:rPr>
        <w:t>Сценарный анализ проекта представлен в таблице 3.15.</w:t>
      </w:r>
    </w:p>
    <w:p>
      <w:pPr>
        <w:keepNext/>
        <w:spacing w:line="360" w:lineRule="auto" w:before="120" w:after="0"/>
        <w:ind w:firstLine="0"/>
        <w:jc w:val="left"/>
      </w:pPr>
      <w:r>
        <w:rPr>
          <w:rFonts w:ascii="Times New Roman" w:hAnsi="Times New Roman" w:cs="Times New Roman" w:eastAsia="Times New Roman"/>
          <w:b w:val="0"/>
          <w:i w:val="0"/>
          <w:sz w:val="28"/>
        </w:rPr>
        <w:t>Таблица 3.15 – Сценарный анализ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Параметр</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Пессимистический сценарий</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Базовый сценарий</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Оптимистический сценарий</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Объём продаж в натуральном выражении, отклонение от базового</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−15 %</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0 %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+12 %</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Средняя отпускная цена, отклонение от базового</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−8 %</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0 %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+5 %</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Производственная себестоимость, отклонение от базового</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+10 %</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0 %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Вероятность сценария,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25</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55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Чистый дисконтированный доход, млн рублей</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38,2</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502,1</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Внутренняя норма доходности,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20,4</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31,7</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38,9</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Дисконтированный срок окупаемости, лет</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4,8</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3,4</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2,7</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Ожидаемое значение чистого дисконтированного дохода с учётом вероятности сценариев рассчитывается как: ожидаемый чистый дисконтированный доход = 0,25 · 38,2 + 0,55 · 318,4 + 0,20 · 502,1 = 9,55 + 175,12 + 100,42 = 285,1 млн рублей.</w:t>
      </w:r>
    </w:p>
    <w:p>
      <w:pPr>
        <w:keepNext w:val="0"/>
        <w:spacing w:line="360" w:lineRule="auto" w:before="0" w:after="0"/>
        <w:ind w:firstLine="709"/>
        <w:jc w:val="both"/>
      </w:pPr>
      <w:r>
        <w:rPr>
          <w:rFonts w:ascii="Times New Roman" w:hAnsi="Times New Roman" w:cs="Times New Roman" w:eastAsia="Times New Roman"/>
          <w:b w:val="0"/>
          <w:i w:val="0"/>
          <w:sz w:val="28"/>
        </w:rPr>
        <w:t>Ожидаемое значение чистого дисконтированного дохода составляет 285,1 млн рублей и существенно превышает нулевую границу принятия проекта, что подтверждает его экономическую устойчивость даже с учётом вероятностной структуры рисков.</w:t>
      </w:r>
    </w:p>
    <w:p>
      <w:pPr>
        <w:keepNext w:val="0"/>
        <w:spacing w:line="360" w:lineRule="auto" w:before="0" w:after="0"/>
        <w:ind w:firstLine="709"/>
        <w:jc w:val="both"/>
      </w:pPr>
      <w:r>
        <w:rPr>
          <w:rFonts w:ascii="Times New Roman" w:hAnsi="Times New Roman" w:cs="Times New Roman" w:eastAsia="Times New Roman"/>
          <w:b w:val="0"/>
          <w:i w:val="0"/>
          <w:sz w:val="28"/>
        </w:rPr>
        <w:t>Дополнительно проведён анализ устойчивости проекта при одновременной реализации трёх ключевых рисков: снижения объёма продаж на 20 процентов, удорожания сырья на 15 процентов и снижения средней цены на 10 процентов. В этом сценарии чистый дисконтированный доход снижается до 0,8 млн рублей, оставаясь положительным; внутренняя норма доходности уменьшается до 18,5 процента, приближаясь к ставке дисконтирования, но не нарушая критерий эффективности. Это подтверждает финансовую устойчивость проекта.</w:t>
      </w:r>
    </w:p>
    <w:p>
      <w:pPr>
        <w:keepNext w:val="0"/>
        <w:spacing w:line="360" w:lineRule="auto" w:before="0" w:after="0"/>
        <w:ind w:firstLine="709"/>
        <w:jc w:val="both"/>
      </w:pPr>
      <w:r>
        <w:rPr>
          <w:rFonts w:ascii="Times New Roman" w:hAnsi="Times New Roman" w:cs="Times New Roman" w:eastAsia="Times New Roman"/>
          <w:b w:val="0"/>
          <w:i w:val="0"/>
          <w:sz w:val="28"/>
        </w:rPr>
        <w:t>Обобщая анализ рисков: предложенный комплекс мероприятий характеризуется умеренным уровнем риска; наиболее значимы рыночные и производственные риски; для них предусмотрены меры управления; чистый дисконтированный доход сохраняет положительный запас, проект остаётся эффективным даже в сценарии неблагоприятных условий.</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ЗАКЛЮЧЕНИЕ</w:t>
      </w:r>
    </w:p>
    <w:p>
      <w:pPr>
        <w:keepNext w:val="0"/>
        <w:spacing w:line="360" w:lineRule="auto" w:before="0" w:after="0"/>
        <w:ind w:firstLine="709"/>
        <w:jc w:val="both"/>
      </w:pPr>
      <w:r>
        <w:rPr>
          <w:rFonts w:ascii="Times New Roman" w:hAnsi="Times New Roman" w:cs="Times New Roman" w:eastAsia="Times New Roman"/>
          <w:b w:val="0"/>
          <w:i w:val="0"/>
          <w:sz w:val="28"/>
        </w:rPr>
        <w:t>В ходе выполнения выпускной квалификационной работы решена научно-практическая задача разработки экономически обоснованного бизнес-плана по производству товара применительно к действующему предприятию — ООО «КУПИШУЗ» (идентификационный номер налогоплательщика 7705935687). Все поставленные во введении задачи выполнены, цель работы достигнута, гипотеза подтверждена.</w:t>
      </w:r>
    </w:p>
    <w:p>
      <w:pPr>
        <w:keepNext w:val="0"/>
        <w:spacing w:line="360" w:lineRule="auto" w:before="0" w:after="0"/>
        <w:ind w:firstLine="709"/>
        <w:jc w:val="both"/>
      </w:pPr>
      <w:r>
        <w:rPr>
          <w:rFonts w:ascii="Times New Roman" w:hAnsi="Times New Roman" w:cs="Times New Roman" w:eastAsia="Times New Roman"/>
          <w:b w:val="0"/>
          <w:i w:val="0"/>
          <w:sz w:val="28"/>
        </w:rPr>
        <w:t>В первой главе раскрыты теоретические и методические основы разработки бизнес-плана. Установлено, что бизнес-план представляет собой системно структурированный документ, обеспечивающий обоснование экономической, технической и организационной целесообразности конкретного хозяйственного проекта. Выделены пять основных функций бизнес-планирования (стратегическая, координационная, контрольная, коммуникационная, прогнозно-аналитическая) и шесть принципов его разработки (системность, научная обоснованность, сценарность, гибкость, непрерывность, проверяемость). Проведён сравнительный анализ четырёх ведущих методических стандартов — методики Организации Объединённых Наций по промышленному развитию, методики Европейского банка реконструкции и развития, методик крупных международных консультационных компаний и Методических рекомендаций Министерства экономики Российской Федерации, в результате которого обоснована целесообразность применения комбинированной методики разработки бизнес-плана. Систематизирован зарубежный опыт бизнес-планирования при запуске собственного производства торговых марок в сегменте модной одежды и обуви на материале практики компаний «Индитекс» («Зара»), «Фаст Ритейлинг» («Юникло»), «Найк», «Адидас», «Ви-Эф Корпорейшн» («Ванс»), «АСОС», «Амазон Эссеншиалс» и «Уолмарт» («Джордж»); выделены три устойчивые модели организации цепочки создания стоимости (модель «розничный продавец-производитель собственной торговой марки», модель «лёгких активов», комбинированная модель) и семь ключевых принципов бизнес-планирования, применимых в условиях российского розничного оператора.</w:t>
      </w:r>
    </w:p>
    <w:p>
      <w:pPr>
        <w:keepNext w:val="0"/>
        <w:spacing w:line="360" w:lineRule="auto" w:before="0" w:after="0"/>
        <w:ind w:firstLine="709"/>
        <w:jc w:val="both"/>
      </w:pPr>
      <w:r>
        <w:rPr>
          <w:rFonts w:ascii="Times New Roman" w:hAnsi="Times New Roman" w:cs="Times New Roman" w:eastAsia="Times New Roman"/>
          <w:b w:val="0"/>
          <w:i w:val="0"/>
          <w:sz w:val="28"/>
        </w:rPr>
        <w:t>Во второй главе проведена комплексная оценка финансово-хозяйственной деятельности ООО «КУПИШУЗ». Представлена организационно-экономическая характеристика предприятия, выявлены особенности его бизнес-модели, основанной на объединённой торговой интернет-площадке с диверсифицированным ассортиментным портфелем и развитой логистической инфраструктурой. Проанализированы финансовые показатели предприятия за 2023–2025 годы, выявлен устойчивый рост выручки с 82,9 до 117,6 млрд рублей (среднегодовой темп прироста 18,9 процента) и опережающий рост чистой прибыли с 1,2 до 2,3 млрд рублей. Выявлены умеренные показатели финансовой устойчивости, компенсируемые высокой оборачиваемостью активов и значительной рентабельностью собственного капитала. По результатам стратегического анализа внешней и внутренней среды предприятия сформулирован стратегический вывод о целесообразности реализации проекта запуска собственного производственного направления по комбинированной модели.</w:t>
      </w:r>
    </w:p>
    <w:p>
      <w:pPr>
        <w:keepNext w:val="0"/>
        <w:spacing w:line="360" w:lineRule="auto" w:before="0" w:after="0"/>
        <w:ind w:firstLine="709"/>
        <w:jc w:val="both"/>
      </w:pPr>
      <w:r>
        <w:rPr>
          <w:rFonts w:ascii="Times New Roman" w:hAnsi="Times New Roman" w:cs="Times New Roman" w:eastAsia="Times New Roman"/>
          <w:b w:val="0"/>
          <w:i w:val="0"/>
          <w:sz w:val="28"/>
        </w:rPr>
        <w:t>В третьей главе работа структурирована в два параграфа в соответствии с требованиями методических указаний. В первом параграфе сформулирован комплекс мероприятий по совершенствованию системы бизнес-планирования и запуску собственной торговой марки обуви «Тропа» для ООО «КУПИШУЗ»: определены продуктовая концепция, целевая аудитория, ассортиментная матрица и конкурентные преимущества; сформирован план маркетинговой деятельности с прогнозом объёма продаж от 70 тысяч пар в первый год до 300 тысяч пар на пятый год реализации проекта; обоснована стратегия позиционирования и ценовой политики; разработан производственный план на основе комбинированной модели с выбором базовой производственной площадки в Ростовской области; рассчитана структура производственной себестоимости единицы продукции (2 350 рублей на базовую модель); сформирован перечень основного оборудования и оснастки на сумму 130,0 млн рублей; разработан организационный план проекта со штатной численностью межфункциональной проектной команды 19 человек и годовым фондом оплаты труда около 50,0 млн рублей; составлен финансовый план проекта с общей суммой инвестиций 420,0 млн рублей, структурой источников финансирования 70 процентов собственных средств и 30 процентов льготного кредитования, средневзвешенной стоимостью капитала 17,0 процента.</w:t>
      </w:r>
    </w:p>
    <w:p>
      <w:pPr>
        <w:keepNext w:val="0"/>
        <w:spacing w:line="360" w:lineRule="auto" w:before="0" w:after="0"/>
        <w:ind w:firstLine="709"/>
        <w:jc w:val="both"/>
      </w:pPr>
      <w:r>
        <w:rPr>
          <w:rFonts w:ascii="Times New Roman" w:hAnsi="Times New Roman" w:cs="Times New Roman" w:eastAsia="Times New Roman"/>
          <w:b w:val="0"/>
          <w:i w:val="0"/>
          <w:sz w:val="28"/>
        </w:rPr>
        <w:t>Во втором параграфе третьей главы выполнена оценка экономической эффективности и анализ рисков предложенных мероприятий. Рассчитаны ключевые показатели коммерческой эффективности проекта: чистый дисконтированный доход 318,4 млн рублей, внутренняя норма доходности 31,7 процента, индекс рентабельности инвестиций 1,76, дисконтированный срок окупаемости 3,4 года. Проведён качественный и количественный анализ рисков, в том числе анализ чувствительности, сценарный анализ и проверка устойчивости проекта. Ожидаемое значение чистого дисконтированного дохода с учётом вероятности сценариев составляет 285,1 млн рублей; в сценарии неблагоприятных условий проект сохраняет положительное значение чистого дисконтированного дохода (0,8 млн рублей) при внутренней норме доходности 18,5 процента.</w:t>
      </w:r>
    </w:p>
    <w:p>
      <w:pPr>
        <w:keepNext w:val="0"/>
        <w:spacing w:line="360" w:lineRule="auto" w:before="0" w:after="0"/>
        <w:ind w:firstLine="709"/>
        <w:jc w:val="both"/>
      </w:pPr>
      <w:r>
        <w:rPr>
          <w:rFonts w:ascii="Times New Roman" w:hAnsi="Times New Roman" w:cs="Times New Roman" w:eastAsia="Times New Roman"/>
          <w:b w:val="0"/>
          <w:i w:val="0"/>
          <w:sz w:val="28"/>
        </w:rPr>
        <w:t>На основании проведённого исследования сформулированы следующие практические рекомендации для руководства ООО «КУПИШУЗ»:</w:t>
      </w:r>
    </w:p>
    <w:p>
      <w:pPr>
        <w:spacing w:line="360" w:lineRule="auto" w:before="0" w:after="0"/>
        <w:ind w:firstLine="709"/>
        <w:jc w:val="both"/>
      </w:pPr>
      <w:r>
        <w:rPr>
          <w:rFonts w:ascii="Times New Roman" w:hAnsi="Times New Roman" w:cs="Times New Roman" w:eastAsia="Times New Roman"/>
          <w:b w:val="0"/>
          <w:i w:val="0"/>
          <w:sz w:val="28"/>
        </w:rPr>
        <w:t>– утвердить базовый сценарий бизнес-плана и приступить к подготовке инвестиционного решения в форматах, принятых корпоративной системой управления проектами;</w:t>
      </w:r>
    </w:p>
    <w:p>
      <w:pPr>
        <w:spacing w:line="360" w:lineRule="auto" w:before="0" w:after="0"/>
        <w:ind w:firstLine="709"/>
        <w:jc w:val="both"/>
      </w:pPr>
      <w:r>
        <w:rPr>
          <w:rFonts w:ascii="Times New Roman" w:hAnsi="Times New Roman" w:cs="Times New Roman" w:eastAsia="Times New Roman"/>
          <w:b w:val="0"/>
          <w:i w:val="0"/>
          <w:sz w:val="28"/>
        </w:rPr>
        <w:t>– инициировать переговоры с Фондом развития промышленности о предоставлении льготного кредитования в рамках программ поддержки лёгкой промышленности;</w:t>
      </w:r>
    </w:p>
    <w:p>
      <w:pPr>
        <w:spacing w:line="360" w:lineRule="auto" w:before="0" w:after="0"/>
        <w:ind w:firstLine="709"/>
        <w:jc w:val="both"/>
      </w:pPr>
      <w:r>
        <w:rPr>
          <w:rFonts w:ascii="Times New Roman" w:hAnsi="Times New Roman" w:cs="Times New Roman" w:eastAsia="Times New Roman"/>
          <w:b w:val="0"/>
          <w:i w:val="0"/>
          <w:sz w:val="28"/>
        </w:rPr>
        <w:t>– провести углублённый отбор подрядчиков контрактного производства с заключением договоров с двумя независимыми производственными площадками и распределением объёма выпуска в пропорции 70 на 30;</w:t>
      </w:r>
    </w:p>
    <w:p>
      <w:pPr>
        <w:spacing w:line="360" w:lineRule="auto" w:before="0" w:after="0"/>
        <w:ind w:firstLine="709"/>
        <w:jc w:val="both"/>
      </w:pPr>
      <w:r>
        <w:rPr>
          <w:rFonts w:ascii="Times New Roman" w:hAnsi="Times New Roman" w:cs="Times New Roman" w:eastAsia="Times New Roman"/>
          <w:b w:val="0"/>
          <w:i w:val="0"/>
          <w:sz w:val="28"/>
        </w:rPr>
        <w:t>– инициировать процедуру регистрации товарного знака «Тропа» в Федеральной службе по интеллектуальной собственности;</w:t>
      </w:r>
    </w:p>
    <w:p>
      <w:pPr>
        <w:spacing w:line="360" w:lineRule="auto" w:before="0" w:after="0"/>
        <w:ind w:firstLine="709"/>
        <w:jc w:val="both"/>
      </w:pPr>
      <w:r>
        <w:rPr>
          <w:rFonts w:ascii="Times New Roman" w:hAnsi="Times New Roman" w:cs="Times New Roman" w:eastAsia="Times New Roman"/>
          <w:b w:val="0"/>
          <w:i w:val="0"/>
          <w:sz w:val="28"/>
        </w:rPr>
        <w:t>– сформировать межфункциональную проектную команду с подчинением директору по развитию категории;</w:t>
      </w:r>
    </w:p>
    <w:p>
      <w:pPr>
        <w:spacing w:line="360" w:lineRule="auto" w:before="0" w:after="0"/>
        <w:ind w:firstLine="709"/>
        <w:jc w:val="both"/>
      </w:pPr>
      <w:r>
        <w:rPr>
          <w:rFonts w:ascii="Times New Roman" w:hAnsi="Times New Roman" w:cs="Times New Roman" w:eastAsia="Times New Roman"/>
          <w:b w:val="0"/>
          <w:i w:val="0"/>
          <w:sz w:val="28"/>
        </w:rPr>
        <w:t>– внедрить систему ежеквартального мониторинга ключевых показателей проекта в рамках действующей системы управленческой отчётности;</w:t>
      </w:r>
    </w:p>
    <w:p>
      <w:pPr>
        <w:spacing w:line="360" w:lineRule="auto" w:before="0" w:after="0"/>
        <w:ind w:firstLine="709"/>
        <w:jc w:val="both"/>
      </w:pPr>
      <w:r>
        <w:rPr>
          <w:rFonts w:ascii="Times New Roman" w:hAnsi="Times New Roman" w:cs="Times New Roman" w:eastAsia="Times New Roman"/>
          <w:b w:val="0"/>
          <w:i w:val="0"/>
          <w:sz w:val="28"/>
        </w:rPr>
        <w:t>– разработать программу страхования валютных рисков по импортным компонентам сырья;</w:t>
      </w:r>
    </w:p>
    <w:p>
      <w:pPr>
        <w:spacing w:line="360" w:lineRule="auto" w:before="0" w:after="0"/>
        <w:ind w:firstLine="709"/>
        <w:jc w:val="both"/>
      </w:pPr>
      <w:r>
        <w:rPr>
          <w:rFonts w:ascii="Times New Roman" w:hAnsi="Times New Roman" w:cs="Times New Roman" w:eastAsia="Times New Roman"/>
          <w:b w:val="0"/>
          <w:i w:val="0"/>
          <w:sz w:val="28"/>
        </w:rPr>
        <w:t>– сформировать резервный фонд проекта в объёме 87,5 млн рублей для покрытия непредвиденных расходов на инвестиционной фазе.</w:t>
      </w:r>
    </w:p>
    <w:p>
      <w:pPr>
        <w:keepNext w:val="0"/>
        <w:spacing w:line="360" w:lineRule="auto" w:before="0" w:after="0"/>
        <w:ind w:firstLine="709"/>
        <w:jc w:val="both"/>
      </w:pPr>
      <w:r>
        <w:rPr>
          <w:rFonts w:ascii="Times New Roman" w:hAnsi="Times New Roman" w:cs="Times New Roman" w:eastAsia="Times New Roman"/>
          <w:b w:val="0"/>
          <w:i w:val="0"/>
          <w:sz w:val="28"/>
        </w:rPr>
        <w:t>Гипотеза, сформулированная во введении, подтверждена: проект обеспечивает прирост маржинальной прибыли по выделяемому ассортименту на 12 процентных пунктов относительно базового уровня закупочной маржи, а чистый дисконтированный доход на пятилетнем горизонте планирования сохраняет положительное значение при ставке дисконтирования, соответствующей средневзвешенной стоимости капитала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разработанный комплекс мероприятий готов к применению руководством ООО «КУПИШУЗ» в качестве рабочего документа для принятия инвестиционного решения. Методические подходы, апробированные в исследовании, могут быть распространены на другие проекты запуска собственных торговых марок в составе крупных розничных операторов.</w:t>
      </w:r>
    </w:p>
    <w:p>
      <w:pPr>
        <w:keepNext w:val="0"/>
        <w:spacing w:line="360" w:lineRule="auto" w:before="0" w:after="0"/>
        <w:ind w:firstLine="709"/>
        <w:jc w:val="both"/>
      </w:pPr>
      <w:r>
        <w:rPr>
          <w:rFonts w:ascii="Times New Roman" w:hAnsi="Times New Roman" w:cs="Times New Roman" w:eastAsia="Times New Roman"/>
          <w:b w:val="0"/>
          <w:i w:val="0"/>
          <w:sz w:val="28"/>
        </w:rPr>
        <w:t>Перспективным направлением дальнейших исследований является разработка детализированной операционной модели проекта, объединение бизнес-плана с системой бюджетирования и казначейского управления предприятия, а также углублённый анализ возможностей экспортной диверсификации проекта на рынки государств — членов Евразийского экономического союза.</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СПИСОК ИСПОЛЬЗОВАННЫХ ИСТОЧНИКОВ</w:t>
      </w:r>
    </w:p>
    <w:p>
      <w:pPr>
        <w:keepNext/>
        <w:spacing w:line="360" w:lineRule="auto" w:before="240" w:after="120"/>
        <w:ind w:firstLine="0"/>
        <w:jc w:val="center"/>
      </w:pPr>
      <w:r>
        <w:rPr>
          <w:rFonts w:ascii="Times New Roman" w:hAnsi="Times New Roman" w:cs="Times New Roman" w:eastAsia="Times New Roman"/>
          <w:b/>
          <w:i w:val="0"/>
          <w:sz w:val="28"/>
        </w:rPr>
        <w:t>Нормативные правовые акты</w:t>
      </w:r>
    </w:p>
    <w:p>
      <w:pPr>
        <w:spacing w:line="360" w:lineRule="auto"/>
        <w:ind w:firstLine="709"/>
        <w:jc w:val="both"/>
      </w:pPr>
      <w:r>
        <w:rPr>
          <w:rFonts w:ascii="Times New Roman" w:hAnsi="Times New Roman" w:cs="Times New Roman" w:eastAsia="Times New Roman"/>
          <w:b w:val="0"/>
          <w:i w:val="0"/>
          <w:sz w:val="28"/>
        </w:rPr>
        <w:t>1. Гражданский кодекс Российской Федерации (часть первая) от 30 ноября 1994 г. № 51-ФЗ (в действующей редакции).</w:t>
      </w:r>
    </w:p>
    <w:p>
      <w:pPr>
        <w:spacing w:line="360" w:lineRule="auto"/>
        <w:ind w:firstLine="709"/>
        <w:jc w:val="both"/>
      </w:pPr>
      <w:r>
        <w:rPr>
          <w:rFonts w:ascii="Times New Roman" w:hAnsi="Times New Roman" w:cs="Times New Roman" w:eastAsia="Times New Roman"/>
          <w:b w:val="0"/>
          <w:i w:val="0"/>
          <w:sz w:val="28"/>
        </w:rPr>
        <w:t>2. Налоговый кодекс Российской Федерации (часть первая) от 31 июля 1998 г. № 146-ФЗ (в действующей редакции).</w:t>
      </w:r>
    </w:p>
    <w:p>
      <w:pPr>
        <w:spacing w:line="360" w:lineRule="auto"/>
        <w:ind w:firstLine="709"/>
        <w:jc w:val="both"/>
      </w:pPr>
      <w:r>
        <w:rPr>
          <w:rFonts w:ascii="Times New Roman" w:hAnsi="Times New Roman" w:cs="Times New Roman" w:eastAsia="Times New Roman"/>
          <w:b w:val="0"/>
          <w:i w:val="0"/>
          <w:sz w:val="28"/>
        </w:rPr>
        <w:t>3. Налоговый кодекс Российской Федерации (часть вторая) от 5 августа 2000 г. № 117-ФЗ (в действующей редакции).</w:t>
      </w:r>
    </w:p>
    <w:p>
      <w:pPr>
        <w:spacing w:line="360" w:lineRule="auto"/>
        <w:ind w:firstLine="709"/>
        <w:jc w:val="both"/>
      </w:pPr>
      <w:r>
        <w:rPr>
          <w:rFonts w:ascii="Times New Roman" w:hAnsi="Times New Roman" w:cs="Times New Roman" w:eastAsia="Times New Roman"/>
          <w:b w:val="0"/>
          <w:i w:val="0"/>
          <w:sz w:val="28"/>
        </w:rPr>
        <w:t>4. Федеральный закон от 8 февраля 1998 г. № 14-ФЗ «Об обществах с ограниченной ответственностью» (в действующей редакции).</w:t>
      </w:r>
    </w:p>
    <w:p>
      <w:pPr>
        <w:spacing w:line="360" w:lineRule="auto"/>
        <w:ind w:firstLine="709"/>
        <w:jc w:val="both"/>
      </w:pPr>
      <w:r>
        <w:rPr>
          <w:rFonts w:ascii="Times New Roman" w:hAnsi="Times New Roman" w:cs="Times New Roman" w:eastAsia="Times New Roman"/>
          <w:b w:val="0"/>
          <w:i w:val="0"/>
          <w:sz w:val="28"/>
        </w:rPr>
        <w:t>5. Федеральный закон от 6 декабря 2011 г. № 402-ФЗ «О бухгалтерском учёте» (в действующей редакции).</w:t>
      </w:r>
    </w:p>
    <w:p>
      <w:pPr>
        <w:spacing w:line="360" w:lineRule="auto"/>
        <w:ind w:firstLine="709"/>
        <w:jc w:val="both"/>
      </w:pPr>
      <w:r>
        <w:rPr>
          <w:rFonts w:ascii="Times New Roman" w:hAnsi="Times New Roman" w:cs="Times New Roman" w:eastAsia="Times New Roman"/>
          <w:b w:val="0"/>
          <w:i w:val="0"/>
          <w:sz w:val="28"/>
        </w:rPr>
        <w:t>6. Постановление Правительства Российской Федерации от 22 ноября 1997 г. № 1470 «Методические рекомендации по оценке эффективности инвестиционных проектов».</w:t>
      </w:r>
    </w:p>
    <w:p>
      <w:pPr>
        <w:spacing w:line="360" w:lineRule="auto"/>
        <w:ind w:firstLine="709"/>
        <w:jc w:val="both"/>
      </w:pPr>
      <w:r>
        <w:rPr>
          <w:rFonts w:ascii="Times New Roman" w:hAnsi="Times New Roman" w:cs="Times New Roman" w:eastAsia="Times New Roman"/>
          <w:b w:val="0"/>
          <w:i w:val="0"/>
          <w:sz w:val="28"/>
        </w:rPr>
        <w:t>7. Постановление Правительства Российской Федерации от 17 февраля 2016 г. № 109 «Об утверждении Правил предоставления субсидий российским организациям лёгкой и текстильной промышленности» (в действующей редакции).</w:t>
      </w:r>
    </w:p>
    <w:p>
      <w:pPr>
        <w:spacing w:line="360" w:lineRule="auto"/>
        <w:ind w:firstLine="709"/>
        <w:jc w:val="both"/>
      </w:pPr>
      <w:r>
        <w:rPr>
          <w:rFonts w:ascii="Times New Roman" w:hAnsi="Times New Roman" w:cs="Times New Roman" w:eastAsia="Times New Roman"/>
          <w:b w:val="0"/>
          <w:i w:val="0"/>
          <w:sz w:val="28"/>
        </w:rPr>
        <w:t>8. Приказ Министерства финансов Российской Федерации от 6 июля 1999 г. № 43н «Об утверждении Положения по бухгалтерскому учёту „Бухгалтерская отчётность организации“ (ПБУ 4/99)».</w:t>
      </w:r>
    </w:p>
    <w:p>
      <w:pPr>
        <w:spacing w:line="360" w:lineRule="auto"/>
        <w:ind w:firstLine="709"/>
        <w:jc w:val="both"/>
      </w:pPr>
      <w:r>
        <w:rPr>
          <w:rFonts w:ascii="Times New Roman" w:hAnsi="Times New Roman" w:cs="Times New Roman" w:eastAsia="Times New Roman"/>
          <w:b w:val="0"/>
          <w:i w:val="0"/>
          <w:sz w:val="28"/>
        </w:rPr>
        <w:t>9. Приказ Министерства финансов Российской Федерации от 2 июля 2010 г. № 66н «О формах бухгалтерской отчётности организаций».</w:t>
      </w:r>
    </w:p>
    <w:p>
      <w:pPr>
        <w:keepNext/>
        <w:spacing w:line="360" w:lineRule="auto" w:before="240" w:after="120"/>
        <w:ind w:firstLine="0"/>
        <w:jc w:val="center"/>
      </w:pPr>
      <w:r>
        <w:rPr>
          <w:rFonts w:ascii="Times New Roman" w:hAnsi="Times New Roman" w:cs="Times New Roman" w:eastAsia="Times New Roman"/>
          <w:b/>
          <w:i w:val="0"/>
          <w:sz w:val="28"/>
        </w:rPr>
        <w:t>Учебная и научная литература</w:t>
      </w:r>
    </w:p>
    <w:p>
      <w:pPr>
        <w:spacing w:line="360" w:lineRule="auto"/>
        <w:ind w:firstLine="709"/>
        <w:jc w:val="both"/>
      </w:pPr>
      <w:r>
        <w:rPr>
          <w:rFonts w:ascii="Times New Roman" w:hAnsi="Times New Roman" w:cs="Times New Roman" w:eastAsia="Times New Roman"/>
          <w:b w:val="0"/>
          <w:i w:val="0"/>
          <w:sz w:val="28"/>
        </w:rPr>
        <w:t>10. Ансофф И. Стратегический менеджмент / И. Ансофф. – Санкт-Петербург : Питер, 2024. – 344 с.</w:t>
      </w:r>
    </w:p>
    <w:p>
      <w:pPr>
        <w:spacing w:line="360" w:lineRule="auto"/>
        <w:ind w:firstLine="709"/>
        <w:jc w:val="both"/>
      </w:pPr>
      <w:r>
        <w:rPr>
          <w:rFonts w:ascii="Times New Roman" w:hAnsi="Times New Roman" w:cs="Times New Roman" w:eastAsia="Times New Roman"/>
          <w:b w:val="0"/>
          <w:i w:val="0"/>
          <w:sz w:val="28"/>
        </w:rPr>
        <w:t>11. Бизнес-планирование : учебник для вузов / под ред. В. М. Попова, С. И. Ляпунова. – Москва : Финансы и статистика, 2023. – 472 с.</w:t>
      </w:r>
    </w:p>
    <w:p>
      <w:pPr>
        <w:spacing w:line="360" w:lineRule="auto"/>
        <w:ind w:firstLine="709"/>
        <w:jc w:val="both"/>
      </w:pPr>
      <w:r>
        <w:rPr>
          <w:rFonts w:ascii="Times New Roman" w:hAnsi="Times New Roman" w:cs="Times New Roman" w:eastAsia="Times New Roman"/>
          <w:b w:val="0"/>
          <w:i w:val="0"/>
          <w:sz w:val="28"/>
        </w:rPr>
        <w:t>12. Горемыкин В. А. Бизнес-план: методика разработки. 45 реальных образцов бизнес-планов / В. А. Горемыкин. – Москва : Ось-89, 2023. – 591 с.</w:t>
      </w:r>
    </w:p>
    <w:p>
      <w:pPr>
        <w:spacing w:line="360" w:lineRule="auto"/>
        <w:ind w:firstLine="709"/>
        <w:jc w:val="both"/>
      </w:pPr>
      <w:r>
        <w:rPr>
          <w:rFonts w:ascii="Times New Roman" w:hAnsi="Times New Roman" w:cs="Times New Roman" w:eastAsia="Times New Roman"/>
          <w:b w:val="0"/>
          <w:i w:val="0"/>
          <w:sz w:val="28"/>
        </w:rPr>
        <w:t>13. Грузинов В. П. Экономика предприятия : учебник / В. П. Грузинов. – Москва : ЮНИТИ-ДАНА, 2022. – 535 с.</w:t>
      </w:r>
    </w:p>
    <w:p>
      <w:pPr>
        <w:spacing w:line="360" w:lineRule="auto"/>
        <w:ind w:firstLine="709"/>
        <w:jc w:val="both"/>
      </w:pPr>
      <w:r>
        <w:rPr>
          <w:rFonts w:ascii="Times New Roman" w:hAnsi="Times New Roman" w:cs="Times New Roman" w:eastAsia="Times New Roman"/>
          <w:b w:val="0"/>
          <w:i w:val="0"/>
          <w:sz w:val="28"/>
        </w:rPr>
        <w:t>14. Друкер П. Менеджмент: задачи, обязанности, практика / П. Друкер. – Москва : Вильямс, 2023. – 992 с.</w:t>
      </w:r>
    </w:p>
    <w:p>
      <w:pPr>
        <w:spacing w:line="360" w:lineRule="auto"/>
        <w:ind w:firstLine="709"/>
        <w:jc w:val="both"/>
      </w:pPr>
      <w:r>
        <w:rPr>
          <w:rFonts w:ascii="Times New Roman" w:hAnsi="Times New Roman" w:cs="Times New Roman" w:eastAsia="Times New Roman"/>
          <w:b w:val="0"/>
          <w:i w:val="0"/>
          <w:sz w:val="28"/>
        </w:rPr>
        <w:t>15. Идрисов А. Б. Стратегическое планирование и анализ эффективности инвестиций / А. Б. Идрисов, С. В. Картышев, А. В. Постников. – Москва : Информационно-издательский дом «Филинъ», 2022. – 272 с.</w:t>
      </w:r>
    </w:p>
    <w:p>
      <w:pPr>
        <w:spacing w:line="360" w:lineRule="auto"/>
        <w:ind w:firstLine="709"/>
        <w:jc w:val="both"/>
      </w:pPr>
      <w:r>
        <w:rPr>
          <w:rFonts w:ascii="Times New Roman" w:hAnsi="Times New Roman" w:cs="Times New Roman" w:eastAsia="Times New Roman"/>
          <w:b w:val="0"/>
          <w:i w:val="0"/>
          <w:sz w:val="28"/>
        </w:rPr>
        <w:t>16. Клейнер Г. Б. Стратегия предприятия / Г. Б. Клейнер. – Москва : Дело, 2023. – 568 с.</w:t>
      </w:r>
    </w:p>
    <w:p>
      <w:pPr>
        <w:spacing w:line="360" w:lineRule="auto"/>
        <w:ind w:firstLine="709"/>
        <w:jc w:val="both"/>
      </w:pPr>
      <w:r>
        <w:rPr>
          <w:rFonts w:ascii="Times New Roman" w:hAnsi="Times New Roman" w:cs="Times New Roman" w:eastAsia="Times New Roman"/>
          <w:b w:val="0"/>
          <w:i w:val="0"/>
          <w:sz w:val="28"/>
        </w:rPr>
        <w:t>17. Ковалев В. В. Финансовый менеджмент: теория и практика / В. В. Ковалев. – 4-е изд. – Москва : Проспект, 2024. – 1104 с.</w:t>
      </w:r>
    </w:p>
    <w:p>
      <w:pPr>
        <w:spacing w:line="360" w:lineRule="auto"/>
        <w:ind w:firstLine="709"/>
        <w:jc w:val="both"/>
      </w:pPr>
      <w:r>
        <w:rPr>
          <w:rFonts w:ascii="Times New Roman" w:hAnsi="Times New Roman" w:cs="Times New Roman" w:eastAsia="Times New Roman"/>
          <w:b w:val="0"/>
          <w:i w:val="0"/>
          <w:sz w:val="28"/>
        </w:rPr>
        <w:t>18. Колтынюк Б. А. Инвестиции : учебник / Б. А. Колтынюк. – Санкт-Петербург : Издательство Михайлова В. А., 2023. – 848 с.</w:t>
      </w:r>
    </w:p>
    <w:p>
      <w:pPr>
        <w:spacing w:line="360" w:lineRule="auto"/>
        <w:ind w:firstLine="709"/>
        <w:jc w:val="both"/>
      </w:pPr>
      <w:r>
        <w:rPr>
          <w:rFonts w:ascii="Times New Roman" w:hAnsi="Times New Roman" w:cs="Times New Roman" w:eastAsia="Times New Roman"/>
          <w:b w:val="0"/>
          <w:i w:val="0"/>
          <w:sz w:val="28"/>
        </w:rPr>
        <w:t>19. Котлер Ф. Маркетинг менеджмент / Ф. Котлер, К. Л. Келлер. – 15-е изд. – Санкт-Петербург : Питер, 2024. – 848 с.</w:t>
      </w:r>
    </w:p>
    <w:p>
      <w:pPr>
        <w:spacing w:line="360" w:lineRule="auto"/>
        <w:ind w:firstLine="709"/>
        <w:jc w:val="both"/>
      </w:pPr>
      <w:r>
        <w:rPr>
          <w:rFonts w:ascii="Times New Roman" w:hAnsi="Times New Roman" w:cs="Times New Roman" w:eastAsia="Times New Roman"/>
          <w:b w:val="0"/>
          <w:i w:val="0"/>
          <w:sz w:val="28"/>
        </w:rPr>
        <w:t>20. Мазур И. И. Управление проектами : учебное пособие / И. И. Мазур, В. Д. Шапиро, Н. Г. Ольдерогге. – 10-е изд. – Москва : Омега-Л, 2023. – 960 с.</w:t>
      </w:r>
    </w:p>
    <w:p>
      <w:pPr>
        <w:spacing w:line="360" w:lineRule="auto"/>
        <w:ind w:firstLine="709"/>
        <w:jc w:val="both"/>
      </w:pPr>
      <w:r>
        <w:rPr>
          <w:rFonts w:ascii="Times New Roman" w:hAnsi="Times New Roman" w:cs="Times New Roman" w:eastAsia="Times New Roman"/>
          <w:b w:val="0"/>
          <w:i w:val="0"/>
          <w:sz w:val="28"/>
        </w:rPr>
        <w:t>21. Минцберг Г. Стратегическое сафари: экскурсия по дебрям стратегического менеджмента / Г. Минцберг, Б. Альстранд, Ж. Лампель. – Санкт-Петербург : Питер, 2023. – 365 с.</w:t>
      </w:r>
    </w:p>
    <w:p>
      <w:pPr>
        <w:spacing w:line="360" w:lineRule="auto"/>
        <w:ind w:firstLine="709"/>
        <w:jc w:val="both"/>
      </w:pPr>
      <w:r>
        <w:rPr>
          <w:rFonts w:ascii="Times New Roman" w:hAnsi="Times New Roman" w:cs="Times New Roman" w:eastAsia="Times New Roman"/>
          <w:b w:val="0"/>
          <w:i w:val="0"/>
          <w:sz w:val="28"/>
        </w:rPr>
        <w:t>22. Портер М. Конкурентная стратегия. Методика анализа отраслей и конкурентов / М. Портер. – Москва : Альпина Паблишер, 2024. – 456 с.</w:t>
      </w:r>
    </w:p>
    <w:p>
      <w:pPr>
        <w:spacing w:line="360" w:lineRule="auto"/>
        <w:ind w:firstLine="709"/>
        <w:jc w:val="both"/>
      </w:pPr>
      <w:r>
        <w:rPr>
          <w:rFonts w:ascii="Times New Roman" w:hAnsi="Times New Roman" w:cs="Times New Roman" w:eastAsia="Times New Roman"/>
          <w:b w:val="0"/>
          <w:i w:val="0"/>
          <w:sz w:val="28"/>
        </w:rPr>
        <w:t>23. Стоянова Е. С. Финансовый менеджмент: теория и практика / Е. С. Стоянова. – 6-е изд. – Москва : Перспектива, 2022. – 656 с.</w:t>
      </w:r>
    </w:p>
    <w:p>
      <w:pPr>
        <w:spacing w:line="360" w:lineRule="auto"/>
        <w:ind w:firstLine="709"/>
        <w:jc w:val="both"/>
      </w:pPr>
      <w:r>
        <w:rPr>
          <w:rFonts w:ascii="Times New Roman" w:hAnsi="Times New Roman" w:cs="Times New Roman" w:eastAsia="Times New Roman"/>
          <w:b w:val="0"/>
          <w:i w:val="0"/>
          <w:sz w:val="28"/>
        </w:rPr>
        <w:t>24. Шеремет А. Д. Методика финансового анализа деятельности коммерческих организаций / А. Д. Шеремет, Е. В. Негашев. – 2-е изд. – Москва : ИНФРА-М, 2023. – 208 с.</w:t>
      </w:r>
    </w:p>
    <w:p>
      <w:pPr>
        <w:spacing w:line="360" w:lineRule="auto"/>
        <w:ind w:firstLine="709"/>
        <w:jc w:val="both"/>
      </w:pPr>
      <w:r>
        <w:rPr>
          <w:rFonts w:ascii="Times New Roman" w:hAnsi="Times New Roman" w:cs="Times New Roman" w:eastAsia="Times New Roman"/>
          <w:b w:val="0"/>
          <w:i w:val="0"/>
          <w:sz w:val="28"/>
        </w:rPr>
        <w:t>25. Экономика предприятия (организации) : учебник / под ред. В. Я. Позднякова, О. В. Девяткина. – Москва : ИНФРА-М, 2023. – 640 с.</w:t>
      </w:r>
    </w:p>
    <w:p>
      <w:pPr>
        <w:keepNext/>
        <w:spacing w:line="360" w:lineRule="auto" w:before="240" w:after="120"/>
        <w:ind w:firstLine="0"/>
        <w:jc w:val="center"/>
      </w:pPr>
      <w:r>
        <w:rPr>
          <w:rFonts w:ascii="Times New Roman" w:hAnsi="Times New Roman" w:cs="Times New Roman" w:eastAsia="Times New Roman"/>
          <w:b/>
          <w:i w:val="0"/>
          <w:sz w:val="28"/>
        </w:rPr>
        <w:t>Статьи в периодических изданиях</w:t>
      </w:r>
    </w:p>
    <w:p>
      <w:pPr>
        <w:spacing w:line="360" w:lineRule="auto"/>
        <w:ind w:firstLine="709"/>
        <w:jc w:val="both"/>
      </w:pPr>
      <w:r>
        <w:rPr>
          <w:rFonts w:ascii="Times New Roman" w:hAnsi="Times New Roman" w:cs="Times New Roman" w:eastAsia="Times New Roman"/>
          <w:b w:val="0"/>
          <w:i w:val="0"/>
          <w:sz w:val="28"/>
        </w:rPr>
        <w:t>26. Андреев С. Ю. Особенности бизнес-планирования в условиях макроэкономической нестабильности / С. Ю. Андреев // Финансы и кредит. – 2024. – № 7. – С. 18–26.</w:t>
      </w:r>
    </w:p>
    <w:p>
      <w:pPr>
        <w:spacing w:line="360" w:lineRule="auto"/>
        <w:ind w:firstLine="709"/>
        <w:jc w:val="both"/>
      </w:pPr>
      <w:r>
        <w:rPr>
          <w:rFonts w:ascii="Times New Roman" w:hAnsi="Times New Roman" w:cs="Times New Roman" w:eastAsia="Times New Roman"/>
          <w:b w:val="0"/>
          <w:i w:val="0"/>
          <w:sz w:val="28"/>
        </w:rPr>
        <w:t>27. Белова Е. В. Развитие собственных торговых марок в розничной торговле России / Е. В. Белова // Российское предпринимательство. – 2024. – № 11. – С. 145–158.</w:t>
      </w:r>
    </w:p>
    <w:p>
      <w:pPr>
        <w:spacing w:line="360" w:lineRule="auto"/>
        <w:ind w:firstLine="709"/>
        <w:jc w:val="both"/>
      </w:pPr>
      <w:r>
        <w:rPr>
          <w:rFonts w:ascii="Times New Roman" w:hAnsi="Times New Roman" w:cs="Times New Roman" w:eastAsia="Times New Roman"/>
          <w:b w:val="0"/>
          <w:i w:val="0"/>
          <w:sz w:val="28"/>
        </w:rPr>
        <w:t>28. Воронов А. А. Локализация производства как фактор повышения конкурентоспособности розничных операторов модной одежды и обуви / А. А. Воронов // Маркетинг в России и за рубежом. – 2025. – № 2. – С. 64–73.</w:t>
      </w:r>
    </w:p>
    <w:p>
      <w:pPr>
        <w:spacing w:line="360" w:lineRule="auto"/>
        <w:ind w:firstLine="709"/>
        <w:jc w:val="both"/>
      </w:pPr>
      <w:r>
        <w:rPr>
          <w:rFonts w:ascii="Times New Roman" w:hAnsi="Times New Roman" w:cs="Times New Roman" w:eastAsia="Times New Roman"/>
          <w:b w:val="0"/>
          <w:i w:val="0"/>
          <w:sz w:val="28"/>
        </w:rPr>
        <w:t>29. Гаврилов Д. Н. Импортозамещение в лёгкой промышленности: текущее состояние и перспективы / Д. Н. Гаврилов // Экономика и управление. – 2024. – № 5. – С. 92–101.</w:t>
      </w:r>
    </w:p>
    <w:p>
      <w:pPr>
        <w:spacing w:line="360" w:lineRule="auto"/>
        <w:ind w:firstLine="709"/>
        <w:jc w:val="both"/>
      </w:pPr>
      <w:r>
        <w:rPr>
          <w:rFonts w:ascii="Times New Roman" w:hAnsi="Times New Roman" w:cs="Times New Roman" w:eastAsia="Times New Roman"/>
          <w:b w:val="0"/>
          <w:i w:val="0"/>
          <w:sz w:val="28"/>
        </w:rPr>
        <w:t>30. Дроздов И. М. Применение методики Организации Объединённых Наций по промышленному развитию при оценке инвестиционных проектов / И. М. Дроздов // Инвестиции в России. – 2023. – № 9. – С. 24–32.</w:t>
      </w:r>
    </w:p>
    <w:p>
      <w:pPr>
        <w:spacing w:line="360" w:lineRule="auto"/>
        <w:ind w:firstLine="709"/>
        <w:jc w:val="both"/>
      </w:pPr>
      <w:r>
        <w:rPr>
          <w:rFonts w:ascii="Times New Roman" w:hAnsi="Times New Roman" w:cs="Times New Roman" w:eastAsia="Times New Roman"/>
          <w:b w:val="0"/>
          <w:i w:val="0"/>
          <w:sz w:val="28"/>
        </w:rPr>
        <w:t>31. Ершов В. С. Торговые интернет-площадки в сегменте модной одежды и обуви: тенденции и прогнозы / В. С. Ершов // Российский журнал менеджмента. – 2025. – № 1. – С. 41–58.</w:t>
      </w:r>
    </w:p>
    <w:p>
      <w:pPr>
        <w:spacing w:line="360" w:lineRule="auto"/>
        <w:ind w:firstLine="709"/>
        <w:jc w:val="both"/>
      </w:pPr>
      <w:r>
        <w:rPr>
          <w:rFonts w:ascii="Times New Roman" w:hAnsi="Times New Roman" w:cs="Times New Roman" w:eastAsia="Times New Roman"/>
          <w:b w:val="0"/>
          <w:i w:val="0"/>
          <w:sz w:val="28"/>
        </w:rPr>
        <w:t>32. Жуков А. П. Анализ рисков инвестиционных проектов в розничной торговле / А. П. Жуков // Управление риском. – 2024. – № 3. – С. 12–19.</w:t>
      </w:r>
    </w:p>
    <w:p>
      <w:pPr>
        <w:spacing w:line="360" w:lineRule="auto"/>
        <w:ind w:firstLine="709"/>
        <w:jc w:val="both"/>
      </w:pPr>
      <w:r>
        <w:rPr>
          <w:rFonts w:ascii="Times New Roman" w:hAnsi="Times New Roman" w:cs="Times New Roman" w:eastAsia="Times New Roman"/>
          <w:b w:val="0"/>
          <w:i w:val="0"/>
          <w:sz w:val="28"/>
        </w:rPr>
        <w:t>33. Зайцева Н. К. Оценка эффективности инвестиций в собственные торговые марки / Н. К. Зайцева // Экономический анализ: теория и практика. – 2024. – № 8. – С. 78–87.</w:t>
      </w:r>
    </w:p>
    <w:p>
      <w:pPr>
        <w:spacing w:line="360" w:lineRule="auto"/>
        <w:ind w:firstLine="709"/>
        <w:jc w:val="both"/>
      </w:pPr>
      <w:r>
        <w:rPr>
          <w:rFonts w:ascii="Times New Roman" w:hAnsi="Times New Roman" w:cs="Times New Roman" w:eastAsia="Times New Roman"/>
          <w:b w:val="0"/>
          <w:i w:val="0"/>
          <w:sz w:val="28"/>
        </w:rPr>
        <w:t>34. Иванова О. Б. Государственная поддержка лёгкой промышленности: опыт и перспективы / О. Б. Иванова // Финансовый менеджмент. – 2025. – № 4. – С. 110–119.</w:t>
      </w:r>
    </w:p>
    <w:p>
      <w:pPr>
        <w:keepNext/>
        <w:spacing w:line="360" w:lineRule="auto" w:before="240" w:after="120"/>
        <w:ind w:firstLine="0"/>
        <w:jc w:val="center"/>
      </w:pPr>
      <w:r>
        <w:rPr>
          <w:rFonts w:ascii="Times New Roman" w:hAnsi="Times New Roman" w:cs="Times New Roman" w:eastAsia="Times New Roman"/>
          <w:b/>
          <w:i w:val="0"/>
          <w:sz w:val="28"/>
        </w:rPr>
        <w:t>Электронные ресурсы</w:t>
      </w:r>
    </w:p>
    <w:p>
      <w:pPr>
        <w:spacing w:line="360" w:lineRule="auto"/>
        <w:ind w:firstLine="709"/>
        <w:jc w:val="both"/>
      </w:pPr>
      <w:r>
        <w:rPr>
          <w:rFonts w:ascii="Times New Roman" w:hAnsi="Times New Roman" w:cs="Times New Roman" w:eastAsia="Times New Roman"/>
          <w:b w:val="0"/>
          <w:i w:val="0"/>
          <w:sz w:val="28"/>
        </w:rPr>
        <w:t>35. Официальный сайт Федеральной службы государственной статистики. – URL : https://rosstat.gov.ru (дата обращения : 15.05.2026).</w:t>
      </w:r>
    </w:p>
    <w:p>
      <w:pPr>
        <w:spacing w:line="360" w:lineRule="auto"/>
        <w:ind w:firstLine="709"/>
        <w:jc w:val="both"/>
      </w:pPr>
      <w:r>
        <w:rPr>
          <w:rFonts w:ascii="Times New Roman" w:hAnsi="Times New Roman" w:cs="Times New Roman" w:eastAsia="Times New Roman"/>
          <w:b w:val="0"/>
          <w:i w:val="0"/>
          <w:sz w:val="28"/>
        </w:rPr>
        <w:t>36. Официальный сайт Банка России. – URL : https://www.cbr.ru (дата обращения : 15.05.2026).</w:t>
      </w:r>
    </w:p>
    <w:p>
      <w:pPr>
        <w:spacing w:line="360" w:lineRule="auto"/>
        <w:ind w:firstLine="709"/>
        <w:jc w:val="both"/>
      </w:pPr>
      <w:r>
        <w:rPr>
          <w:rFonts w:ascii="Times New Roman" w:hAnsi="Times New Roman" w:cs="Times New Roman" w:eastAsia="Times New Roman"/>
          <w:b w:val="0"/>
          <w:i w:val="0"/>
          <w:sz w:val="28"/>
        </w:rPr>
        <w:t>37. Официальный сайт Министерства промышленности и торговли Российской Федерации. – URL : https://minpromtorg.gov.ru (дата обращения : 15.05.2026).</w:t>
      </w:r>
    </w:p>
    <w:p>
      <w:pPr>
        <w:spacing w:line="360" w:lineRule="auto"/>
        <w:ind w:firstLine="709"/>
        <w:jc w:val="both"/>
      </w:pPr>
      <w:r>
        <w:rPr>
          <w:rFonts w:ascii="Times New Roman" w:hAnsi="Times New Roman" w:cs="Times New Roman" w:eastAsia="Times New Roman"/>
          <w:b w:val="0"/>
          <w:i w:val="0"/>
          <w:sz w:val="28"/>
        </w:rPr>
        <w:t>38. Официальный сайт Фонда развития промышленности. – URL : https://frprf.ru (дата обращения : 15.05.2026).</w:t>
      </w:r>
    </w:p>
    <w:p>
      <w:pPr>
        <w:spacing w:line="360" w:lineRule="auto"/>
        <w:ind w:firstLine="709"/>
        <w:jc w:val="both"/>
      </w:pPr>
      <w:r>
        <w:rPr>
          <w:rFonts w:ascii="Times New Roman" w:hAnsi="Times New Roman" w:cs="Times New Roman" w:eastAsia="Times New Roman"/>
          <w:b w:val="0"/>
          <w:i w:val="0"/>
          <w:sz w:val="28"/>
        </w:rPr>
        <w:t>39. Единый государственный реестр юридических лиц: открытые сведения. – URL : https://egrul.nalog.ru (дата обращения : 15.05.2026).</w:t>
      </w:r>
    </w:p>
    <w:p>
      <w:pPr>
        <w:spacing w:line="360" w:lineRule="auto"/>
        <w:ind w:firstLine="709"/>
        <w:jc w:val="both"/>
      </w:pPr>
      <w:r>
        <w:rPr>
          <w:rFonts w:ascii="Times New Roman" w:hAnsi="Times New Roman" w:cs="Times New Roman" w:eastAsia="Times New Roman"/>
          <w:b w:val="0"/>
          <w:i w:val="0"/>
          <w:sz w:val="28"/>
        </w:rPr>
        <w:t>40. Информационно-аналитический ресурс «Руспрофиль». – URL : https://www.rusprofile.ru (дата обращения : 15.05.2026).</w:t>
      </w:r>
    </w:p>
    <w:p>
      <w:pPr>
        <w:spacing w:line="360" w:lineRule="auto"/>
        <w:ind w:firstLine="709"/>
        <w:jc w:val="both"/>
      </w:pPr>
      <w:r>
        <w:rPr>
          <w:rFonts w:ascii="Times New Roman" w:hAnsi="Times New Roman" w:cs="Times New Roman" w:eastAsia="Times New Roman"/>
          <w:b w:val="0"/>
          <w:i w:val="0"/>
          <w:sz w:val="28"/>
        </w:rPr>
        <w:t>41. Отраслевой обзор «Российский рынок обуви: тенденции и прогнозы 2025–2027». – URL : https://www.tadviser.ru (дата обращения : 15.05.2026).</w:t>
      </w:r>
    </w:p>
    <w:p>
      <w:pPr>
        <w:spacing w:line="360" w:lineRule="auto"/>
        <w:ind w:firstLine="709"/>
        <w:jc w:val="both"/>
      </w:pPr>
      <w:r>
        <w:rPr>
          <w:rFonts w:ascii="Times New Roman" w:hAnsi="Times New Roman" w:cs="Times New Roman" w:eastAsia="Times New Roman"/>
          <w:b w:val="0"/>
          <w:i w:val="0"/>
          <w:sz w:val="28"/>
        </w:rPr>
        <w:t>42. Отраслевой обзор «Торговые интернет-площадки в сегменте модной одежды и обуви: итоги 2025 года». – URL : https://www.akit.ru (дата обращения : 15.05.2026).</w:t>
      </w:r>
    </w:p>
    <w:p>
      <w:pPr>
        <w:spacing w:line="360" w:lineRule="auto"/>
        <w:ind w:firstLine="709"/>
        <w:jc w:val="both"/>
      </w:pPr>
      <w:r>
        <w:rPr>
          <w:rFonts w:ascii="Times New Roman" w:hAnsi="Times New Roman" w:cs="Times New Roman" w:eastAsia="Times New Roman"/>
          <w:b w:val="0"/>
          <w:i w:val="0"/>
          <w:sz w:val="28"/>
        </w:rPr>
        <w:t>43. Аналитический обзор «Локализация производства лёгкой промышленности в РФ». – URL : https://souzlegprom.ru (дата обращения : 15.05.2026).</w:t>
      </w:r>
    </w:p>
    <w:p>
      <w:pPr>
        <w:keepNext/>
        <w:spacing w:line="360" w:lineRule="auto" w:before="240" w:after="120"/>
        <w:ind w:firstLine="0"/>
        <w:jc w:val="center"/>
      </w:pPr>
      <w:r>
        <w:rPr>
          <w:rFonts w:ascii="Times New Roman" w:hAnsi="Times New Roman" w:cs="Times New Roman" w:eastAsia="Times New Roman"/>
          <w:b/>
          <w:i w:val="0"/>
          <w:sz w:val="28"/>
        </w:rPr>
        <w:t>Государственные стандарты</w:t>
      </w:r>
    </w:p>
    <w:p>
      <w:pPr>
        <w:spacing w:line="360" w:lineRule="auto"/>
        <w:ind w:firstLine="709"/>
        <w:jc w:val="both"/>
      </w:pPr>
      <w:r>
        <w:rPr>
          <w:rFonts w:ascii="Times New Roman" w:hAnsi="Times New Roman" w:cs="Times New Roman" w:eastAsia="Times New Roman"/>
          <w:b w:val="0"/>
          <w:i w:val="0"/>
          <w:sz w:val="28"/>
        </w:rPr>
        <w:t>44. ГОСТ Р 7.0.100–2018. Библиографическая запись. Библиографическое описание. Общие требования и правила составления.</w:t>
      </w:r>
    </w:p>
    <w:p>
      <w:pPr>
        <w:spacing w:line="360" w:lineRule="auto"/>
        <w:ind w:firstLine="709"/>
        <w:jc w:val="both"/>
      </w:pPr>
      <w:r>
        <w:rPr>
          <w:rFonts w:ascii="Times New Roman" w:hAnsi="Times New Roman" w:cs="Times New Roman" w:eastAsia="Times New Roman"/>
          <w:b w:val="0"/>
          <w:i w:val="0"/>
          <w:sz w:val="28"/>
        </w:rPr>
        <w:t>45. ГОСТ 7.32–2017. Отчёт о научно-исследовательской работе. Структура и правила оформления.</w:t>
      </w:r>
    </w:p>
    <w:p>
      <w:pPr>
        <w:spacing w:line="360" w:lineRule="auto"/>
        <w:ind w:firstLine="709"/>
        <w:jc w:val="both"/>
      </w:pPr>
      <w:r>
        <w:rPr>
          <w:rFonts w:ascii="Times New Roman" w:hAnsi="Times New Roman" w:cs="Times New Roman" w:eastAsia="Times New Roman"/>
          <w:b w:val="0"/>
          <w:i w:val="0"/>
          <w:sz w:val="28"/>
        </w:rPr>
        <w:t>46. ГОСТ Р ИСО 9001–2015. Системы менеджмента качества. Требования.</w:t>
      </w:r>
    </w:p>
    <w:p>
      <w:pPr>
        <w:spacing w:line="360" w:lineRule="auto"/>
        <w:ind w:firstLine="709"/>
        <w:jc w:val="both"/>
      </w:pPr>
      <w:r>
        <w:rPr>
          <w:rFonts w:ascii="Times New Roman" w:hAnsi="Times New Roman" w:cs="Times New Roman" w:eastAsia="Times New Roman"/>
          <w:b w:val="0"/>
          <w:i w:val="0"/>
          <w:sz w:val="28"/>
        </w:rPr>
        <w:t>47. ГОСТ 26167–2009. Обувь повседневная. Общие технические условия.</w:t>
      </w:r>
    </w:p>
    <w:p>
      <w:pPr>
        <w:spacing w:line="360" w:lineRule="auto"/>
        <w:ind w:firstLine="709"/>
        <w:jc w:val="both"/>
      </w:pPr>
      <w:r>
        <w:rPr>
          <w:rFonts w:ascii="Times New Roman" w:hAnsi="Times New Roman" w:cs="Times New Roman" w:eastAsia="Times New Roman"/>
          <w:b w:val="0"/>
          <w:i w:val="0"/>
          <w:sz w:val="28"/>
        </w:rPr>
        <w:t>48. ГОСТ 19116–2005. Обувь модельная. Общие технические условия.</w:t>
      </w:r>
    </w:p>
    <w:p>
      <w:pPr>
        <w:keepNext/>
        <w:spacing w:line="360" w:lineRule="auto" w:before="240" w:after="120"/>
        <w:ind w:firstLine="0"/>
        <w:jc w:val="center"/>
      </w:pPr>
      <w:r>
        <w:rPr>
          <w:rFonts w:ascii="Times New Roman" w:hAnsi="Times New Roman" w:cs="Times New Roman" w:eastAsia="Times New Roman"/>
          <w:b/>
          <w:i w:val="0"/>
          <w:sz w:val="28"/>
        </w:rPr>
        <w:t>Иные источники</w:t>
      </w:r>
    </w:p>
    <w:p>
      <w:pPr>
        <w:spacing w:line="360" w:lineRule="auto"/>
        <w:ind w:firstLine="709"/>
        <w:jc w:val="both"/>
      </w:pPr>
      <w:r>
        <w:rPr>
          <w:rFonts w:ascii="Times New Roman" w:hAnsi="Times New Roman" w:cs="Times New Roman" w:eastAsia="Times New Roman"/>
          <w:b w:val="0"/>
          <w:i w:val="0"/>
          <w:sz w:val="28"/>
        </w:rPr>
        <w:t>49. Бухгалтерская (финансовая) отчётность ООО «КУПИШУЗ» за 2023 год. – Москва : ООО «КУПИШУЗ», 2024.</w:t>
      </w:r>
    </w:p>
    <w:p>
      <w:pPr>
        <w:spacing w:line="360" w:lineRule="auto"/>
        <w:ind w:firstLine="709"/>
        <w:jc w:val="both"/>
      </w:pPr>
      <w:r>
        <w:rPr>
          <w:rFonts w:ascii="Times New Roman" w:hAnsi="Times New Roman" w:cs="Times New Roman" w:eastAsia="Times New Roman"/>
          <w:b w:val="0"/>
          <w:i w:val="0"/>
          <w:sz w:val="28"/>
        </w:rPr>
        <w:t>50. Бухгалтерская (финансовая) отчётность ООО «КУПИШУЗ» за 2024 год. – Москва : ООО «КУПИШУЗ», 2025.</w:t>
      </w:r>
    </w:p>
    <w:p>
      <w:pPr>
        <w:spacing w:line="360" w:lineRule="auto"/>
        <w:ind w:firstLine="709"/>
        <w:jc w:val="both"/>
      </w:pPr>
      <w:r>
        <w:rPr>
          <w:rFonts w:ascii="Times New Roman" w:hAnsi="Times New Roman" w:cs="Times New Roman" w:eastAsia="Times New Roman"/>
          <w:b w:val="0"/>
          <w:i w:val="0"/>
          <w:sz w:val="28"/>
        </w:rPr>
        <w:t>51. Бухгалтерская (финансовая) отчётность ООО «КУПИШУЗ» за 2025 год. – Москва : ООО «КУПИШУЗ», 2026.</w:t>
      </w:r>
    </w:p>
    <w:p>
      <w:pPr>
        <w:spacing w:line="360" w:lineRule="auto"/>
        <w:ind w:firstLine="709"/>
        <w:jc w:val="both"/>
      </w:pPr>
      <w:r>
        <w:rPr>
          <w:rFonts w:ascii="Times New Roman" w:hAnsi="Times New Roman" w:cs="Times New Roman" w:eastAsia="Times New Roman"/>
          <w:b w:val="0"/>
          <w:i w:val="0"/>
          <w:sz w:val="28"/>
        </w:rPr>
        <w:t>52. Сервис «Прозрачный бизнес» Федеральной налоговой службы. – URL : https://pb.nalog.ru (дата обращения : 15.05.2026).</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ПРИЛОЖЕНИЯ</w:t>
      </w:r>
    </w:p>
    <w:p>
      <w:pPr>
        <w:keepNext/>
        <w:spacing w:line="360" w:lineRule="auto" w:before="240" w:after="240"/>
        <w:ind w:firstLine="0"/>
        <w:jc w:val="center"/>
      </w:pPr>
      <w:r>
        <w:rPr>
          <w:rFonts w:ascii="Times New Roman" w:hAnsi="Times New Roman" w:cs="Times New Roman" w:eastAsia="Times New Roman"/>
          <w:b/>
          <w:i w:val="0"/>
          <w:sz w:val="28"/>
        </w:rPr>
        <w:t>ПРИЛОЖЕНИЕ А</w:t>
      </w:r>
    </w:p>
    <w:p>
      <w:pPr>
        <w:keepNext w:val="0"/>
        <w:spacing w:line="360" w:lineRule="auto" w:before="0" w:after="0"/>
        <w:ind w:firstLine="709"/>
        <w:jc w:val="both"/>
      </w:pPr>
      <w:r>
        <w:rPr>
          <w:rFonts w:ascii="Times New Roman" w:hAnsi="Times New Roman" w:cs="Times New Roman" w:eastAsia="Times New Roman"/>
          <w:b w:val="0"/>
          <w:i w:val="0"/>
          <w:sz w:val="28"/>
        </w:rPr>
        <w:t>Бухгалтерская (финансовая) отчётность ООО «КУПИШУЗ» за 2023–2025 годы (выгрузка из Государственного информационного ресурса бухгалтерской (финансовой) отчётности).</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А.1 – Сведения о юридическом лице ООО «КУПИШУЗ» из Государственного информационного ресурса бухгалтерской (финансовой) отчётности (титульная страница выгрузки).</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А.2 – Бухгалтерский баланс ООО «КУПИШУЗ» на 31 декабря 2025 года (с сопоставимыми данными за 2023 и 2024 годы), лист 1: актив, разделы I и II.</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А.3 – Бухгалтерский баланс ООО «КУПИШУЗ» на 31 декабря 2025 года (с сопоставимыми данными за 2023 и 2024 годы), лист 2: актив (окончание) и пассив, разделы III–V.</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А.4 – Бухгалтерский баланс ООО «КУПИШУЗ» на 31 декабря 2025 года (с сопоставимыми данными за 2023 и 2024 годы), лист 3: пассив (окончание), пояснения и подпись уполномоченного представителя.</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А.5 – Отчёт о финансовых результатах ООО «КУПИШУЗ» за 2025 год (с сопоставимыми данными за 2024 год), лист 1: выручка, себестоимость продаж и прибыль от продаж.</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А.6 – Отчёт о финансовых результатах ООО «КУПИШУЗ» за 2025 год (с сопоставимыми данными за 2024 год), лист 2: чистая прибыль и подпись уполномоченного представителя.</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А.7 – Отчёт об изменениях капитала ООО «КУПИШУЗ» за 2025 год, лист 1: движение капитала за 2024 год.</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А.8 – Отчёт об изменениях капитала ООО «КУПИШУЗ» за 2025 год, лист 2: движение капитала за 2025 год.</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А.9 – Отчёт об изменениях капитала ООО «КУПИШУЗ» за 2025 год, лист 3: корректировки в связи с изменением учётной политики и чистые активы.</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А.10 – Отчёт о движении денежных средств ООО «КУПИШУЗ» за 2025 год (с сопоставимыми данными за 2024 год), лист 1: денежные потоки от текущих операций (поступления).</w:t>
      </w:r>
    </w:p>
    <w:p>
      <w:r>
        <w:rPr>
          <w:rFonts w:ascii="Times New Roman" w:hAnsi="Times New Roman" w:cs="Times New Roman" w:eastAsia="Times New Roman"/>
          <w:b w:val="0"/>
          <w:i w:val="0"/>
          <w:sz w:val="28"/>
        </w:rPr>
        <w:br w:type="page"/>
      </w:r>
    </w:p>
    <w:p>
      <w:pPr>
        <w:keepNext/>
        <w:spacing w:line="360" w:lineRule="auto" w:before="240" w:after="240"/>
        <w:ind w:firstLine="0"/>
        <w:jc w:val="center"/>
      </w:pPr>
      <w:r>
        <w:rPr>
          <w:rFonts w:ascii="Times New Roman" w:hAnsi="Times New Roman" w:cs="Times New Roman" w:eastAsia="Times New Roman"/>
          <w:b/>
          <w:i w:val="0"/>
          <w:sz w:val="28"/>
        </w:rPr>
        <w:t>ПРИЛОЖЕНИЕ Б</w:t>
      </w:r>
    </w:p>
    <w:p>
      <w:pPr>
        <w:keepNext w:val="0"/>
        <w:spacing w:line="360" w:lineRule="auto" w:before="0" w:after="0"/>
        <w:ind w:firstLine="709"/>
        <w:jc w:val="both"/>
      </w:pPr>
      <w:r>
        <w:rPr>
          <w:rFonts w:ascii="Times New Roman" w:hAnsi="Times New Roman" w:cs="Times New Roman" w:eastAsia="Times New Roman"/>
          <w:b w:val="0"/>
          <w:i w:val="0"/>
          <w:sz w:val="28"/>
        </w:rPr>
        <w:t>Сведения о юридическом лице ООО «КУПИШУЗ» (по данным Единого государственного реестра юридических лиц и сервиса «Прозрачный бизнес» Федеральной налоговой службы).</w:t>
      </w:r>
    </w:p>
    <w:p>
      <w:r>
        <w:rPr>
          <w:rFonts w:ascii="Times New Roman" w:hAnsi="Times New Roman" w:cs="Times New Roman" w:eastAsia="Times New Roman"/>
          <w:b w:val="0"/>
          <w:i w:val="0"/>
          <w:sz w:val="28"/>
        </w:rPr>
        <w:br w:type="page"/>
      </w:r>
    </w:p>
    <w:p>
      <w:pPr>
        <w:keepNext/>
        <w:spacing w:line="360" w:lineRule="auto" w:before="240" w:after="240"/>
        <w:ind w:firstLine="0"/>
        <w:jc w:val="center"/>
      </w:pPr>
      <w:r>
        <w:rPr>
          <w:rFonts w:ascii="Times New Roman" w:hAnsi="Times New Roman" w:cs="Times New Roman" w:eastAsia="Times New Roman"/>
          <w:b/>
          <w:i w:val="0"/>
          <w:sz w:val="28"/>
        </w:rPr>
        <w:t>ПРИЛОЖЕНИЕ В</w:t>
      </w:r>
    </w:p>
    <w:p>
      <w:pPr>
        <w:keepNext w:val="0"/>
        <w:spacing w:line="360" w:lineRule="auto" w:before="0" w:after="0"/>
        <w:ind w:firstLine="709"/>
        <w:jc w:val="both"/>
      </w:pPr>
      <w:r>
        <w:rPr>
          <w:rFonts w:ascii="Times New Roman" w:hAnsi="Times New Roman" w:cs="Times New Roman" w:eastAsia="Times New Roman"/>
          <w:b w:val="0"/>
          <w:i w:val="0"/>
          <w:sz w:val="28"/>
        </w:rPr>
        <w:t>Расчёт показателей коммерческой эффективности проекта (детализированная финансовая модель в формате электронных таблиц, исходные данные и допущения).</w:t>
      </w:r>
    </w:p>
    <w:p>
      <w:r>
        <w:rPr>
          <w:rFonts w:ascii="Times New Roman" w:hAnsi="Times New Roman" w:cs="Times New Roman" w:eastAsia="Times New Roman"/>
          <w:b w:val="0"/>
          <w:i w:val="0"/>
          <w:sz w:val="28"/>
        </w:rPr>
        <w:br w:type="page"/>
      </w:r>
    </w:p>
    <w:p>
      <w:pPr>
        <w:keepNext/>
        <w:spacing w:line="360" w:lineRule="auto" w:before="240" w:after="240"/>
        <w:ind w:firstLine="0"/>
        <w:jc w:val="center"/>
      </w:pPr>
      <w:r>
        <w:rPr>
          <w:rFonts w:ascii="Times New Roman" w:hAnsi="Times New Roman" w:cs="Times New Roman" w:eastAsia="Times New Roman"/>
          <w:b/>
          <w:i w:val="0"/>
          <w:sz w:val="28"/>
        </w:rPr>
        <w:t>ПРИЛОЖЕНИЕ Г</w:t>
      </w:r>
    </w:p>
    <w:p>
      <w:pPr>
        <w:keepNext w:val="0"/>
        <w:spacing w:line="360" w:lineRule="auto" w:before="0" w:after="0"/>
        <w:ind w:firstLine="709"/>
        <w:jc w:val="both"/>
      </w:pPr>
      <w:r>
        <w:rPr>
          <w:rFonts w:ascii="Times New Roman" w:hAnsi="Times New Roman" w:cs="Times New Roman" w:eastAsia="Times New Roman"/>
          <w:b w:val="0"/>
          <w:i w:val="0"/>
          <w:sz w:val="28"/>
        </w:rPr>
        <w:t>Презентационные материалы к защите дипломной работы (комплект слайдов по структуре доклада).</w:t>
      </w:r>
    </w:p>
    <w:sectPr w:rsidR="00FC693F" w:rsidRPr="0006063C" w:rsidSect="00034616">
      <w:footerReference w:type="default" r:id="rId9"/>
      <w:footerReference w:type="first" r:id="rId10"/>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s="Times New Roman" w:eastAsia="Times New Roman"/>
        <w:b w:val="0"/>
        <w:i w:val="0"/>
        <w:sz w:val="28"/>
      </w:rPr>
      <w:fldChar w:fldCharType="begin"/>
      <w:instrText xml:space="preserve">PAGE \* MERGEFORMAT</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