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after="240"/>
        <w:ind w:firstLine="0"/>
        <w:jc w:val="center"/>
      </w:pPr>
      <w:r>
        <w:rPr>
          <w:b/>
        </w:rPr>
        <w:t>ОГЛАВЛЕНИЕ</w:t>
      </w:r>
    </w:p>
    <w:p>
      <w:pPr>
        <w:tabs>
          <w:tab w:pos="9071" w:val="right" w:leader="dot"/>
        </w:tabs>
        <w:spacing w:line="360" w:lineRule="auto" w:after="0" w:before="0"/>
        <w:ind w:firstLine="0"/>
        <w:jc w:val="left"/>
      </w:pPr>
      <w:hyperlink w:anchor="h_intro" w:history="1">
        <w:r>
          <w:rPr>
            <w:rFonts w:ascii="Times New Roman" w:hAnsi="Times New Roman" w:cs="Times New Roman" w:eastAsia="Times New Roman"/>
            <w:sz w:val="28"/>
            <w:b w:val="true"/>
            <w:color w:val="000000"/>
          </w:rPr>
          <w:t xml:space="preserve">ВВЕДЕНИЕ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h_intro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1" w:history="1">
        <w:r>
          <w:rPr>
            <w:rFonts w:ascii="Times New Roman" w:hAnsi="Times New Roman" w:cs="Times New Roman" w:eastAsia="Times New Roman"/>
            <w:sz w:val="28"/>
            <w:b w:val="true"/>
            <w:color w:val="000000"/>
          </w:rPr>
          <w:t xml:space="preserve">ГЛАВА 1. ТЕОРЕТИКО-МЕТОДОЛОГИЧЕСКИЕ ОСНОВЫ ПРИМЕНЕНИЯ ИНТЕРНЕТ-ТЕХНОЛОГИЙ В КОММЕРЧЕСКОЙ ДЕЯТЕЛЬНОСТИ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1" w:history="1">
        <w:r>
          <w:rPr>
            <w:rFonts w:ascii="Times New Roman" w:hAnsi="Times New Roman" w:cs="Times New Roman" w:eastAsia="Times New Roman"/>
            <w:sz w:val="28"/>
            <w:color w:val="000000"/>
          </w:rPr>
          <w:t xml:space="preserve">1.1 Понятийно-сущностные основы интернет-технологий в коммерции: содержание, классификация, эволюция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2" w:history="1">
        <w:r>
          <w:rPr>
            <w:rFonts w:ascii="Times New Roman" w:hAnsi="Times New Roman" w:cs="Times New Roman" w:eastAsia="Times New Roman"/>
            <w:sz w:val="28"/>
            <w:color w:val="000000"/>
          </w:rPr>
          <w:t xml:space="preserve">1.2 Зарубежный и отечественный опыт построения цифровых экосистем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3" w:history="1">
        <w:r>
          <w:rPr>
            <w:rFonts w:ascii="Times New Roman" w:hAnsi="Times New Roman" w:cs="Times New Roman" w:eastAsia="Times New Roman"/>
            <w:sz w:val="28"/>
            <w:color w:val="000000"/>
          </w:rPr>
          <w:t xml:space="preserve">1.3 Экономическая безопасность как фактор эффективности коммерческой деятельности в цифровой среде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2" w:history="1">
        <w:r>
          <w:rPr>
            <w:rFonts w:ascii="Times New Roman" w:hAnsi="Times New Roman" w:cs="Times New Roman" w:eastAsia="Times New Roman"/>
            <w:sz w:val="28"/>
            <w:b w:val="true"/>
            <w:color w:val="000000"/>
          </w:rPr>
          <w:t xml:space="preserve">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1" w:history="1">
        <w:r>
          <w:rPr>
            <w:rFonts w:ascii="Times New Roman" w:hAnsi="Times New Roman" w:cs="Times New Roman" w:eastAsia="Times New Roman"/>
            <w:sz w:val="28"/>
            <w:color w:val="000000"/>
          </w:rPr>
          <w:t xml:space="preserve">2.1 Организационно-правовая характеристика ОЭБиПК УВД по ЮЗАО и её роль в обеспечении экономической безопасности коммерческих предприятий округа</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2" w:history="1">
        <w:r>
          <w:rPr>
            <w:rFonts w:ascii="Times New Roman" w:hAnsi="Times New Roman" w:cs="Times New Roman" w:eastAsia="Times New Roman"/>
            <w:sz w:val="28"/>
            <w:color w:val="000000"/>
          </w:rPr>
          <w:t xml:space="preserve">2.2 Организационно-экономическая характеристика модельной группы коммерческих предприятий-аналогов, применяющих интернет-технологии</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3" w:history="1">
        <w:r>
          <w:rPr>
            <w:rFonts w:ascii="Times New Roman" w:hAnsi="Times New Roman" w:cs="Times New Roman" w:eastAsia="Times New Roman"/>
            <w:sz w:val="28"/>
            <w:color w:val="000000"/>
          </w:rPr>
          <w:t xml:space="preserve">2.3 Анализ цифровых каналов, ассортиментной политики и факторов экономической безопасности модельной группы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3" w:history="1">
        <w:r>
          <w:rPr>
            <w:rFonts w:ascii="Times New Roman" w:hAnsi="Times New Roman" w:cs="Times New Roman" w:eastAsia="Times New Roman"/>
            <w:sz w:val="28"/>
            <w:b w:val="true"/>
            <w:color w:val="000000"/>
          </w:rPr>
          <w:t xml:space="preserve">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1" w:history="1">
        <w:r>
          <w:rPr>
            <w:rFonts w:ascii="Times New Roman" w:hAnsi="Times New Roman" w:cs="Times New Roman" w:eastAsia="Times New Roman"/>
            <w:sz w:val="28"/>
            <w:color w:val="000000"/>
          </w:rPr>
          <w:t xml:space="preserve">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2" w:history="1">
        <w:r>
          <w:rPr>
            <w:rFonts w:ascii="Times New Roman" w:hAnsi="Times New Roman" w:cs="Times New Roman" w:eastAsia="Times New Roman"/>
            <w:sz w:val="28"/>
            <w:color w:val="000000"/>
          </w:rPr>
          <w:t xml:space="preserve">3.2 Расчёт экономической эффективности предложенных мероприятий по модели «до/после»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3" w:history="1">
        <w:r>
          <w:rPr>
            <w:rFonts w:ascii="Times New Roman" w:hAnsi="Times New Roman" w:cs="Times New Roman" w:eastAsia="Times New Roman"/>
            <w:sz w:val="28"/>
            <w:color w:val="000000"/>
          </w:rPr>
          <w:t xml:space="preserve">3.3 Перспективные направления развития применения интернет-технологий в коммерческой деятельности предприятий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oncl" w:history="1">
        <w:r>
          <w:rPr>
            <w:rFonts w:ascii="Times New Roman" w:hAnsi="Times New Roman" w:cs="Times New Roman" w:eastAsia="Times New Roman"/>
            <w:sz w:val="28"/>
            <w:b w:val="true"/>
            <w:color w:val="000000"/>
          </w:rPr>
          <w:t xml:space="preserve">ЗАКЛЮЧЕНИЕ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h_concl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sources" w:history="1">
        <w:r>
          <w:rPr>
            <w:rFonts w:ascii="Times New Roman" w:hAnsi="Times New Roman" w:cs="Times New Roman" w:eastAsia="Times New Roman"/>
            <w:sz w:val="28"/>
            <w:b w:val="true"/>
            <w:color w:val="000000"/>
          </w:rPr>
          <w:t xml:space="preserve">СПИСОК ИСПОЛЬЗОВАННЫХ ИСТОЧНИКОВ</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h_sources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1" w:history="1">
        <w:r>
          <w:rPr>
            <w:rFonts w:ascii="Times New Roman" w:hAnsi="Times New Roman" w:cs="Times New Roman" w:eastAsia="Times New Roman"/>
            <w:sz w:val="28"/>
            <w:b w:val="true"/>
            <w:color w:val="000000"/>
          </w:rPr>
          <w:t xml:space="preserve">ПРИЛОЖЕНИЕ А СТРУКТУРА ВЗАИМОДЕЙСТВИЯ И ПЕРЕЧЕНЬ ИНФОРМАЦИОННЫХ СИСТЕМ</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2" w:history="1">
        <w:r>
          <w:rPr>
            <w:rFonts w:ascii="Times New Roman" w:hAnsi="Times New Roman" w:cs="Times New Roman" w:eastAsia="Times New Roman"/>
            <w:sz w:val="28"/>
            <w:b w:val="true"/>
            <w:color w:val="000000"/>
          </w:rPr>
          <w:t xml:space="preserve">ПРИЛОЖЕНИЕ Б ИНДИКАТОРЫ РАННЕГО РЕАГИРОВАНИЯ И ШКАЛА ИНДЕКСА ЦИФРОВОГО ДОВЕРИЯ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3" w:history="1">
        <w:r>
          <w:rPr>
            <w:rFonts w:ascii="Times New Roman" w:hAnsi="Times New Roman" w:cs="Times New Roman" w:eastAsia="Times New Roman"/>
            <w:sz w:val="28"/>
            <w:b w:val="true"/>
            <w:color w:val="000000"/>
          </w:rPr>
          <w:t xml:space="preserve">ПРИЛОЖЕНИЕ В СЦЕНАРНЫЕ ДОПУЩЕНИЯ И СВОДНЫЕ РАСЧЁТЫ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ind w:firstLine="0"/>
      </w:pPr>
      <w:r>
        <w:br w:type="page"/>
      </w:r>
    </w:p>
    <w:p>
      <w:bookmarkStart w:id="1001" w:name="h_intro"/>
      <w:pPr>
        <w:pStyle w:val="Heading1"/>
      </w:pPr>
      <w:r>
        <w:rPr>
          <w:b/>
        </w:rPr>
        <w:t>ВВЕДЕНИЕ</w:t>
      </w:r>
      <w:bookmarkEnd w:id="1001"/>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обусловлена тем, что коммерческая деятельность предприятий и работа территориальных подразделений экономической безопасности всё чаще развиваются в едином цифровом пространстве. Размещение ассортимента в сети «Интернет» через собственный сайт, маркетплейс, мессенджер-бот или мобильное приложение позволяет торговому предприятию выходить на новые группы покупателей, но одновременно увеличивает количество возможных каналов для мошеннических и иных противоправных действий. В этих условиях подразделение полиции, отвечающее за противодействие экономическим и коррупционным преступлениям, постепенно перестаёт выполнять только функцию реагирования на уже совершённые нарушения и всё больше выступает как аналитический и профилактический центр, способный содействовать снижению цифровых рисков коммерческих предприятий.</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bookmarkStart w:id="1002" w:name="h_ch1"/>
      <w:pPr>
        <w:pStyle w:val="Heading1"/>
      </w:pPr>
      <w:r>
        <w:rPr>
          <w:b/>
        </w:rPr>
        <w:t>ГЛАВА 1. ТЕОРЕТИКО-МЕТОДОЛОГИЧЕСКИЕ ОСНОВЫ ПРИМЕНЕНИЯ ИНТЕРНЕТ-ТЕХНОЛОГИЙ В КОММЕРЧЕСКОЙ ДЕЯТЕЛЬНОСТИ ПРЕДПРИЯТИЙ</w:t>
      </w:r>
      <w:bookmarkEnd w:id="1002"/>
    </w:p>
    <w:p/>
    <w:p>
      <w:bookmarkStart w:id="1003" w:name="h_sec_1_1"/>
      <w:pPr>
        <w:pStyle w:val="Heading2"/>
      </w:pPr>
      <w:r>
        <w:t>1.1 Понятийно-сущностные основы интернет-технологий в коммерции: содержание, классификация, эволюция</w:t>
      </w:r>
      <w:bookmarkEnd w:id="1003"/>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bookmarkStart w:id="1004" w:name="h_sec_1_2"/>
      <w:pPr>
        <w:pStyle w:val="Heading2"/>
      </w:pPr>
      <w:r>
        <w:t>1.2 Зарубежный и отечественный опыт построения цифровых экосистем коммерческих предприятий</w:t>
      </w:r>
      <w:bookmarkEnd w:id="1004"/>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bookmarkStart w:id="1005" w:name="h_sec_1_3"/>
      <w:pPr>
        <w:pStyle w:val="Heading2"/>
      </w:pPr>
      <w:r>
        <w:t>1.3 Экономическая безопасность как фактор эффективности коммерческой деятельности в цифровой среде</w:t>
      </w:r>
      <w:bookmarkEnd w:id="1005"/>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Авторская шкала интерпретации содержит четыре зоны устойчивости — высокую (0,80 и выше), приемлемую (от 0,60 до 0,79), ниже среднего (от 0,40 до 0,59) и критическую (ниже 0,40); полное описание шкалы и рекомендуемые управленческие реакции по каждой зоне приведены в приложении Б.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приведены в параграфе 2.3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bookmarkStart w:id="1006" w:name="h_ch2"/>
      <w:pPr>
        <w:pStyle w:val="Heading1"/>
      </w:pPr>
      <w:r>
        <w:rPr>
          <w:b/>
        </w:rPr>
        <w:t>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bookmarkEnd w:id="1006"/>
    </w:p>
    <w:p/>
    <w:p>
      <w:bookmarkStart w:id="1007" w:name="h_sec_2_1"/>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1007"/>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округа зарегистрировано более 48 тыс. юридических лиц и индивидуальных предпринимателей, и порядка 63 % из них применяют в коммерческой деятельности один или несколько цифровых каналов взаимодействия с потребителем: корпоративный сайт, кабинеты на маркетплейсах, мобильное приложение, корпоративные мессенджеры, представительства в социальных сетях. Подобная концентрация цифровой коммерческой активности предопределяет специфику работы ОЭБиПК: значительная часть выявляемых рисков и угроз локализована именно в сегменте дистанционной торговли и сопутствующих информационных сервисов.</w:t>
      </w:r>
    </w:p>
    <w:p>
      <w:pPr>
        <w:jc w:val="both"/>
      </w:pPr>
      <w:r>
        <w:t>Полномочия и функции ОЭБиПК УВД по ЮЗАО можно разделить на четыре содержательных блока. Первый блок — оперативно-разыскная и доследственная деятельность: предупреждение, выявление, пресечение и раскрытие преступлений экономической направленности (главы 22 и 23 Уголовного кодекса Российской Федерации [4]), а также противодействие коррупционным правонарушениям (глава 30 Уголовного кодекса Российской Федерации [4]); проверка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Второй блок — аналитическая и информационная работа: сбор и обработка сведений о схемах уклонения от уплаты налогов, легализации доходов от преступной деятельности и недобросовестной конкуренции в цифровой среде; подготовка обзорных материалов и тематических справок о типовых уязвимостях коммерческих интернет-каналов. Третий блок — межведомственная координация: взаимодействие с органами прокуратуры, Федеральной налоговой службы, Банка России (включая ФинЦЕРТ), Федеральной службы по финансовому мониторингу, Федеральной службы судебных приставов по вопросам, отнесённым к компетенции подразделения. Четвёртый блок — профилактическая и разъяснительная деятельность: участие в семинарах для предпринимательского сообщества, подготовка чек-листов и памяток, консультации руководителей коммерческих организаций по требованиям законодательства о персональных данных и о критической информационной инфраструктуре.</w:t>
      </w:r>
    </w:p>
    <w:p>
      <w:pPr>
        <w:jc w:val="both"/>
      </w:pPr>
      <w:r>
        <w:t>Названная конструкция полномочий приобретает особое значение в условиях ускоренной цифровизации торговли. ОЭБиПК не является коммерческой организацией и не осуществляет предпринимательскую деятельность, однако его влияние на устойчивость коммерческой среды округа реализуется через два самостоятельных канала. Первый канал — снижение «потерь от инцидентов» (мошенничества, фишинга, контрафакта, утечек персональных данных), что отражается на финансовом результате коммерческих предприятий. Второй канал — формирование «среды доверия»: участие подразделения в межведомственном обмене данными и распространение обезличенной аналитики позволяют коммерческим организациям принимать решения на основе достоверной информации о контрагентах и рыночной конъюнктуре. Совокупно это означает, что правоохранительная функция в цифровой экономике переходит от модели исключительно реактивного реагирования к модели интегрированного сопровождения хозяйственной среды — профилактического, аналитического, надзорного и упреждающего.</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Сравнительный анализ открытых статистических сведений МВД России [50] и обзоров ФинЦЕРТ Банка России [49] за 2023–2024 годы показывает, что в структуре правонарушений экономической направленности, регистрируемых на территории Юго-Западного административного округа г. Москвы, устойчиво растёт доля деяний, реализуемых с использованием информационно-телекоммуникационной сети «Интернет». В числе наиболее распространённых типовых схем выделяются: создание ресурсов, имитирующих внешний вид и доменное имя действующих торговых интернет-площадок (фишинговые ресурсы); неправомерное использование товарных знаков курьерских и логистических операторов в целях введения потребителя в заблуждение; согласованные действия участников электронных торговых площадок, обладающие признаками ограничения конкуренции по смыслу статьи 11 Федерального закона от 26 июля 2006 года № 135-ФЗ «О защите конкуренции»; формирование цепочек технических контрагентов для необоснованного применения налоговых вычетов по налогу на добавленную стоимость («бумажный» НДС). Перечисленные противоправные модели прямо или опосредованно затрагивают имущественные и репутационные интересы коммерческих организаций, добросовестно осуществляющих торговую деятельность в цифровой среде, и обосновывают необходимость аналитической работы подразделений экономической безопасности именно в этом сегменте.</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bookmarkStart w:id="1008" w:name="h_sec_2_2"/>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bookmarkEnd w:id="1008"/>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корпоративный сегмент («бизнес-для-бизнеса»)а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корпоративный сегмент-инструменты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bookmarkStart w:id="1009" w:name="h_sec_2_3"/>
      <w:pPr>
        <w:pStyle w:val="Heading2"/>
      </w:pPr>
      <w:r>
        <w:t>2.3 Анализ цифровых каналов, ассортиментной политики и факторов экономической безопасности модельной группы предприятий</w:t>
      </w:r>
      <w:bookmarkEnd w:id="1009"/>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зрелости каждой меры выполнена в процентном выражении и отражает фактическую степень внедрения соответствующего инструмента: значение 100 % соответствует полной и регламентированной реализации меры на всех значимых процессах предприятия; 75 % — реализации с отдельными частными ограничениями; 50 % — частичной реализации, охватывающей часть бизнес-процессов или ключевых сотрудников; 25 % — фрагментарной реализации, носящей эпизодический характер; 0 % — отсутствию соответствующей меры. Шкала является авторской и согласована с рекомендациями Банка России по оценке зрелости информационной безопасности субъектов малого и среднего предпринимательства [49].</w:t>
      </w:r>
    </w:p>
    <w:p>
      <w:pPr>
        <w:spacing w:line="240" w:lineRule="auto"/>
        <w:ind w:firstLine="0"/>
        <w:jc w:val="left"/>
      </w:pPr>
      <w:r>
        <w:rPr>
          <w:rFonts w:ascii="Times New Roman" w:hAnsi="Times New Roman"/>
          <w:sz w:val="28"/>
        </w:rPr>
        <w:t>Таблица 6 — Сводная оценка зрелости мер защиты интернет-каналов модельной группы предприятий ЮЗАО, %</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(не реже одного раза в 24 часа)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и мобильных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Среднее значение зрелости мер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78,6</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71,4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85,7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(среднее значение по группе — 20,0 %). По обобщённой оценке Банка России [49], около 70 % инцидентов в коммерческих организациях вызваны не техническими, а социально-инженерными воздействиями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Второй чувствительный участок — антифрод-модуль для платежей: у П-2 и П-5 он отсутствует, у П-3 реализован лишь частично, что закладывает наибольший потенциал потерь от мошенничества с банковскими картами и переводов.</w:t>
      </w:r>
    </w:p>
    <w:p>
      <w:pPr>
        <w:jc w:val="both"/>
      </w:pPr>
      <w:r>
        <w:t>На основе таблиц 4–6 рассчитан индекс цифрового доверия (ИЦД), введённый в первой главе. Для перевода процентных оценок в значения по шкале от 0 до 1 принят прямой пересчёт: 100 % соответствует значению 1,00; 50 % — 0,50; 0 % — 0,00 и т. д.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Шкала интерпретации значений ИЦД и состав индикаторов раннего реагирования, использованных в третьей главе, систематизированы в приложении Б.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bookmarkStart w:id="1010" w:name="h_ch3"/>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1010"/>
    </w:p>
    <w:p/>
    <w:p>
      <w:bookmarkStart w:id="1011" w:name="h_sec_3_1"/>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11"/>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в работе предложена авторская система раннего обнаружения признаков противоправных действий, объединяющая пять интегральных индикаторов: динамику обращений потребителей; появление в открытом поиске копий ресурсов предприятия; динамику операций, оспоренных плательщиками; изменения в составе руководства и бенефициаров контрагентов; аномальную ценовую динамику на торговых интернет-площадках, типичную для схем легализации доходов. Подробное описание индикаторов, их пороговых значений и порядка совместного применения с индексом цифрового доверия приведено в приложении Б. При одновременном превышении пороговых значений по двум и более индикаторам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[26; 50]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bookmarkStart w:id="1012" w:name="h_sec_3_2"/>
      <w:pPr>
        <w:pStyle w:val="Heading2"/>
      </w:pPr>
      <w:r>
        <w:t>3.2 Расчёт экономической эффективности предложенных мероприятий по модели «до/после»</w:t>
      </w:r>
      <w:bookmarkEnd w:id="1012"/>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[49].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bookmarkStart w:id="1013" w:name="h_sec_3_3"/>
      <w:pPr>
        <w:pStyle w:val="Heading2"/>
      </w:pPr>
      <w:r>
        <w:t>3.3 Перспективные направления развития применения интернет-технологий в коммерческой деятельности предприятий ЮЗАО</w:t>
      </w:r>
      <w:bookmarkEnd w:id="1013"/>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bookmarkStart w:id="1014" w:name="h_concl"/>
      <w:pPr>
        <w:pStyle w:val="Heading1"/>
      </w:pPr>
      <w:r>
        <w:rPr>
          <w:b/>
        </w:rPr>
        <w:t>ЗАКЛЮЧЕНИЕ</w:t>
      </w:r>
      <w:bookmarkEnd w:id="1014"/>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bookmarkStart w:id="1015" w:name="h_sources"/>
      <w:pPr>
        <w:pStyle w:val="Heading1"/>
      </w:pPr>
      <w:r>
        <w:rPr>
          <w:b/>
        </w:rPr>
        <w:t>СПИСОК ИСПОЛЬЗОВАННЫХ ИСТОЧНИКОВ</w:t>
      </w:r>
      <w:bookmarkEnd w:id="1015"/>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bookmarkStart w:id="1016" w:name="h_app_1"/>
      <w:pPr>
        <w:pStyle w:val="Heading1"/>
      </w:pPr>
      <w:r>
        <w:rPr>
          <w:b/>
        </w:rPr>
        <w:t>ПРИЛОЖЕНИЕ А СТРУКТУРА ВЗАИМОДЕЙСТВИЯ И ПЕРЕЧЕНЬ ИНФОРМАЦИОННЫХ СИСТЕМ</w:t>
      </w:r>
      <w:bookmarkEnd w:id="1016"/>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bookmarkStart w:id="1017" w:name="h_app_2"/>
      <w:pPr>
        <w:pStyle w:val="Heading1"/>
      </w:pPr>
      <w:r>
        <w:rPr>
          <w:b/>
        </w:rPr>
        <w:t>ПРИЛОЖЕНИЕ Б ИНДИКАТОРЫ РАННЕГО РЕАГИРОВАНИЯ И ШКАЛА ИНДЕКСА ЦИФРОВОГО ДОВЕРИЯ</w:t>
      </w:r>
      <w:bookmarkEnd w:id="1017"/>
    </w:p>
    <w:p/>
    <w:p>
      <w:pPr>
        <w:jc w:val="both"/>
      </w:pPr>
      <w:r>
        <w:t>Приложение содержит методический инструментарий, использованный в основной части работы при формировании оценок состояния экономической безопасности модельной группы коммерческих предприятий и при разработке программы концептуальных предложений. Состав инструментария соответствует положениям раздела 1.3 (теоретическое обоснование индекса цифрового доверия), параграфа 2.3 (расчёт значений индекса для предприятий П-1 — П-5) и параграфа 3.1 (формулировка комплекса мероприятий цифрового мониторинга).</w:t>
      </w:r>
    </w:p>
    <w:p>
      <w:pPr>
        <w:jc w:val="both"/>
      </w:pPr>
      <w:r>
        <w:t>Б.1 Система индикаторов раннего обнаружения признаков противоправных действий в отношении коммерческой деятельности предприятия, применяющего интернет-технологии.</w:t>
      </w:r>
    </w:p>
    <w:p>
      <w:pPr>
        <w:jc w:val="both"/>
      </w:pPr>
      <w:r>
        <w:t>Система включает пять интегральных индикаторов, каждый из которых сопоставляется с пороговым значением, основанным на агрегированной статистике Банка России (ФинЦЕРТ) и Координационного центра доменов .RU/.РФ за 2022–2024 годы. Превышение порогового значения по двум и более индикаторам одновременно рассматривается в работе как основание для углублённой проверки со стороны подразделения экономической безопасности.</w:t>
      </w:r>
    </w:p>
    <w:p>
      <w:pPr>
        <w:jc w:val="both"/>
      </w:pPr>
      <w:r>
        <w:t>Индикатор 1 — динамика обращений потребителей. Регистрируется существенный рост числа обращений граждан о фактах причинения имущественного ущерба, связанных с деятельностью предприятия, в сравнении со средним уровнем за предшествующий квартал. Пороговое значение — превышение среднего квартального уровня более чем в три раза за один календарный месяц.</w:t>
      </w:r>
    </w:p>
    <w:p>
      <w:pPr>
        <w:jc w:val="both"/>
      </w:pPr>
      <w:r>
        <w:t>Индикатор 2 — наличие в открытом поиске копий ресурсов предприятия. Регистрируется появление сайтов и мобильных приложений, имитирующих внешний вид, доменное имя или товарные знаки исследуемого предприятия (фишинговые ресурсы). Пороговое значение — выявление двух и более подобных ресурсов в течение календарного месяца.</w:t>
      </w:r>
    </w:p>
    <w:p>
      <w:pPr>
        <w:jc w:val="both"/>
      </w:pPr>
      <w:r>
        <w:t>Индикатор 3 — динамика операций, оспоренных плательщиками. Регистрируется доля платёжных операций, по которым плательщиками заявлено оспаривание (обратный платёж по оспариванию), в общем количестве принятых платежей за период. Пороговое значение — превышение уровня 1,5 % при средней по отрасли доле в диапазоне 0,9–1,8 %.</w:t>
      </w:r>
    </w:p>
    <w:p>
      <w:pPr>
        <w:jc w:val="both"/>
      </w:pPr>
      <w:r>
        <w:t>Индикатор 4 — изменения в составе руководства и бенефициаров контрагентов. Регистрируется одновременное изменение состава руководителей или бенефициарных владельцев, охватывающее три и более юридических звена в цепочке контрагентов предприятия. Пороговое значение — наличие подобных изменений у трёх и более контрагентов одновременно в течение календарного месяца.</w:t>
      </w:r>
    </w:p>
    <w:p>
      <w:pPr>
        <w:jc w:val="both"/>
      </w:pPr>
      <w:r>
        <w:t>Индикатор 5 — аномальная ценовая динамика на торговых интернет-площадках. Регистрируется устойчивое отклонение цен и величины предоставляемых скидок от средневзвешенных значений по ассортиментной группе, типичное для схем легализации доходов от незаконной деятельности. Пороговое значение — отклонение более чем на 40 % от средневзвешенной цены по группе товаров на протяжении не менее десяти рабочих дней.</w:t>
      </w:r>
    </w:p>
    <w:p>
      <w:pPr>
        <w:jc w:val="both"/>
      </w:pPr>
      <w:r>
        <w:t>Б.2 Шкала интерпретации индекса цифрового доверия (ИЦД), введённого в параграфе 1.3 и применённого в параграфе 2.3.</w:t>
      </w:r>
    </w:p>
    <w:p>
      <w:pPr>
        <w:jc w:val="both"/>
      </w:pPr>
      <w:r>
        <w:t>Шкала включает четыре зоны устойчивости и носит ориентирующий характер при формировании дифференцированной программы мер.</w:t>
      </w:r>
    </w:p>
    <w:p>
      <w:pPr>
        <w:jc w:val="both"/>
      </w:pPr>
      <w:r>
        <w:t>Зона 1 — высокий уровень устойчивости (значение ИЦД 0,80 и выше): меры экономической безопасности реализованы на всех значимых процессах предприятия, риск возникновения инцидентов оценивается как низкий; рекомендован режим планового мониторинга.</w:t>
      </w:r>
    </w:p>
    <w:p>
      <w:pPr>
        <w:jc w:val="both"/>
      </w:pPr>
      <w:r>
        <w:t>Зона 2 — приемлемый уровень устойчивости (значение ИЦД от 0,60 до 0,79 включительно): меры реализованы в основном объёме, выявлены отдельные ограничения; рекомендовано выборочное усиление по слабо реализованным мерам.</w:t>
      </w:r>
    </w:p>
    <w:p>
      <w:pPr>
        <w:jc w:val="both"/>
      </w:pPr>
      <w:r>
        <w:t>Зона 3 — уровень ниже среднего (значение ИЦД от 0,40 до 0,59 включительно): меры реализованы частично, выявлены системные ограничения; рекомендована программа усиления с приоритетом на антифрод-инструменты и обучение персонала.</w:t>
      </w:r>
    </w:p>
    <w:p>
      <w:pPr>
        <w:jc w:val="both"/>
      </w:pPr>
      <w:r>
        <w:t>Зона 4 — критический уровень (значение ИЦД ниже 0,40): меры реализованы фрагментарно, риск возникновения значимых инцидентов оценивается как высокий; рекомендовано безотлагательное вмешательство и комплексный пересмотр процедур информационной защиты.</w:t>
      </w:r>
    </w:p>
    <w:p>
      <w:pPr>
        <w:jc w:val="both"/>
      </w:pPr>
      <w:r>
        <w:t>Б.3 Порядок применения индикаторов и шкалы ИЦД в работе ОЭБиПК.</w:t>
      </w:r>
    </w:p>
    <w:p>
      <w:pPr>
        <w:jc w:val="both"/>
      </w:pPr>
      <w:r>
        <w:t>Совместное применение системы индикаторов (Б.1) и шкалы ИЦД (Б.2) реализует двухконтурную логику оценки. Шкала ИЦД отражает «фоновое» состояние экономической безопасности коммерческого предприятия и обновляется в плановом порядке (раз в полугодие). Система индикаторов раннего обнаружения отражает оперативную обстановку и обновляется в текущем режиме. Сочетание двух контуров позволяет дифференцировать управленческие реакции: при изменении значения индекса ИЦД на полгода и более — пересмотр программы мер; при срабатывании двух и более индикаторов одновременно — проведение целевой проверки и информирование руководства предприятия со стороны подразделения экономической безопасности.</w:t>
      </w:r>
    </w:p>
    <w:p>
      <w:pPr>
        <w:ind w:firstLine="0"/>
      </w:pPr>
      <w:r>
        <w:br w:type="page"/>
      </w:r>
    </w:p>
    <w:p>
      <w:bookmarkStart w:id="1018" w:name="h_app_3"/>
      <w:pPr>
        <w:pStyle w:val="Heading1"/>
      </w:pPr>
      <w:r>
        <w:rPr>
          <w:b/>
        </w:rPr>
        <w:t>ПРИЛОЖЕНИЕ В СЦЕНАРНЫЕ ДОПУЩЕНИЯ И СВОДНЫЕ РАСЧЁТЫ</w:t>
      </w:r>
      <w:bookmarkEnd w:id="1018"/>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