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after="240"/>
        <w:ind w:firstLine="0"/>
        <w:jc w:val="center"/>
      </w:pPr>
      <w:r>
        <w:rPr>
          <w:b/>
        </w:rPr>
        <w:t>ОГЛАВЛЕНИЕ</w:t>
      </w:r>
    </w:p>
    <w:p>
      <w:pPr>
        <w:tabs>
          <w:tab w:pos="9071" w:val="right" w:leader="dot"/>
        </w:tabs>
        <w:spacing w:line="360" w:lineRule="auto" w:after="0" w:before="0"/>
        <w:ind w:firstLine="0"/>
        <w:jc w:val="left"/>
      </w:pPr>
      <w:hyperlink w:anchor="h_intro" w:history="1">
        <w:r>
          <w:rPr>
            <w:rFonts w:ascii="Times New Roman" w:hAnsi="Times New Roman" w:cs="Times New Roman" w:eastAsia="Times New Roman"/>
            <w:sz w:val="28"/>
            <w:b w:val="true"/>
            <w:color w:val="000000"/>
          </w:rPr>
          <w:t xml:space="preserve">ВВЕДЕНИЕ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h_intro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1" w:history="1">
        <w:r>
          <w:rPr>
            <w:rFonts w:ascii="Times New Roman" w:hAnsi="Times New Roman" w:cs="Times New Roman" w:eastAsia="Times New Roman"/>
            <w:sz w:val="28"/>
            <w:b w:val="true"/>
            <w:color w:val="000000"/>
          </w:rPr>
          <w:t xml:space="preserve">ГЛАВА 1. ТЕОРЕТИКО-МЕТОДОЛОГИЧЕСКИЕ ОСНОВЫ ПРИМЕНЕНИЯ ИНТЕРНЕТ-ТЕХНОЛОГИЙ В КОММЕРЧЕСКОЙ ДЕЯТЕЛЬНОСТИ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1" w:history="1">
        <w:r>
          <w:rPr>
            <w:rFonts w:ascii="Times New Roman" w:hAnsi="Times New Roman" w:cs="Times New Roman" w:eastAsia="Times New Roman"/>
            <w:sz w:val="28"/>
            <w:color w:val="000000"/>
          </w:rPr>
          <w:t xml:space="preserve">1.1 Понятийно-сущностные основы интернет-технологий в коммерции: содержание, классификация, эволюция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2" w:history="1">
        <w:r>
          <w:rPr>
            <w:rFonts w:ascii="Times New Roman" w:hAnsi="Times New Roman" w:cs="Times New Roman" w:eastAsia="Times New Roman"/>
            <w:sz w:val="28"/>
            <w:color w:val="000000"/>
          </w:rPr>
          <w:t xml:space="preserve">1.2 Зарубежный и отечественный опыт построения цифровых экосистем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3" w:history="1">
        <w:r>
          <w:rPr>
            <w:rFonts w:ascii="Times New Roman" w:hAnsi="Times New Roman" w:cs="Times New Roman" w:eastAsia="Times New Roman"/>
            <w:sz w:val="28"/>
            <w:color w:val="000000"/>
          </w:rPr>
          <w:t xml:space="preserve">1.3 Экономическая безопасность как фактор эффективности коммерческой деятельности в цифровой среде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2" w:history="1">
        <w:r>
          <w:rPr>
            <w:rFonts w:ascii="Times New Roman" w:hAnsi="Times New Roman" w:cs="Times New Roman" w:eastAsia="Times New Roman"/>
            <w:sz w:val="28"/>
            <w:b w:val="true"/>
            <w:color w:val="000000"/>
          </w:rPr>
          <w:t xml:space="preserve">ГЛАВА 2. АНАЛИЗ ПРИМЕНЕНИЯ ИНТЕРНЕТ-ТЕХНОЛОГИЙ В КОММЕРЧЕСКОЙ ДЕЯТЕЛЬНОСТИ ПРЕДПРИЯТИЙ ЮЗАО (ПО МАТЕРИАЛАМ ПРЕДДИПЛОМНОЙ ПРАКТИКИ В ОЭБИПК УВД ПО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1" w:history="1">
        <w:r>
          <w:rPr>
            <w:rFonts w:ascii="Times New Roman" w:hAnsi="Times New Roman" w:cs="Times New Roman" w:eastAsia="Times New Roman"/>
            <w:sz w:val="28"/>
            <w:color w:val="000000"/>
          </w:rPr>
          <w:t xml:space="preserve">2.1 Организационно-правовая характеристика ОЭБиПК УВД по ЮЗАО и её роль в обеспечении экономической безопасности коммерческих предприятий округа</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2" w:history="1">
        <w:r>
          <w:rPr>
            <w:rFonts w:ascii="Times New Roman" w:hAnsi="Times New Roman" w:cs="Times New Roman" w:eastAsia="Times New Roman"/>
            <w:sz w:val="28"/>
            <w:color w:val="000000"/>
          </w:rPr>
          <w:t xml:space="preserve">2.2 Организационно-экономическая характеристика модельной группы коммерческих предприятий-аналогов, применяющих интернет-технологии</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3" w:history="1">
        <w:r>
          <w:rPr>
            <w:rFonts w:ascii="Times New Roman" w:hAnsi="Times New Roman" w:cs="Times New Roman" w:eastAsia="Times New Roman"/>
            <w:sz w:val="28"/>
            <w:color w:val="000000"/>
          </w:rPr>
          <w:t xml:space="preserve">2.3 Анализ цифровых каналов, ассортиментной политики и факторов экономической безопасности модельной группы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3" w:history="1">
        <w:r>
          <w:rPr>
            <w:rFonts w:ascii="Times New Roman" w:hAnsi="Times New Roman" w:cs="Times New Roman" w:eastAsia="Times New Roman"/>
            <w:sz w:val="28"/>
            <w:b w:val="true"/>
            <w:color w:val="000000"/>
          </w:rPr>
          <w:t xml:space="preserve">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1" w:history="1">
        <w:r>
          <w:rPr>
            <w:rFonts w:ascii="Times New Roman" w:hAnsi="Times New Roman" w:cs="Times New Roman" w:eastAsia="Times New Roman"/>
            <w:sz w:val="28"/>
            <w:color w:val="000000"/>
          </w:rPr>
          <w:t xml:space="preserve">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2" w:history="1">
        <w:r>
          <w:rPr>
            <w:rFonts w:ascii="Times New Roman" w:hAnsi="Times New Roman" w:cs="Times New Roman" w:eastAsia="Times New Roman"/>
            <w:sz w:val="28"/>
            <w:color w:val="000000"/>
          </w:rPr>
          <w:t xml:space="preserve">3.2 Расчёт экономической эффективности предложенных мероприятий по модели «до/после»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3" w:history="1">
        <w:r>
          <w:rPr>
            <w:rFonts w:ascii="Times New Roman" w:hAnsi="Times New Roman" w:cs="Times New Roman" w:eastAsia="Times New Roman"/>
            <w:sz w:val="28"/>
            <w:color w:val="000000"/>
          </w:rPr>
          <w:t xml:space="preserve">3.3 Перспективные направления развития применения интернет-технологий в коммерческой деятельности предприятий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oncl" w:history="1">
        <w:r>
          <w:rPr>
            <w:rFonts w:ascii="Times New Roman" w:hAnsi="Times New Roman" w:cs="Times New Roman" w:eastAsia="Times New Roman"/>
            <w:sz w:val="28"/>
            <w:b w:val="true"/>
            <w:color w:val="000000"/>
          </w:rPr>
          <w:t xml:space="preserve">ЗАКЛЮЧЕНИЕ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h_concl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sources" w:history="1">
        <w:r>
          <w:rPr>
            <w:rFonts w:ascii="Times New Roman" w:hAnsi="Times New Roman" w:cs="Times New Roman" w:eastAsia="Times New Roman"/>
            <w:sz w:val="28"/>
            <w:b w:val="true"/>
            <w:color w:val="000000"/>
          </w:rPr>
          <w:t xml:space="preserve">СПИСОК ИСПОЛЬЗОВАННЫХ ИСТОЧНИКОВ</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h_sources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1" w:history="1">
        <w:r>
          <w:rPr>
            <w:rFonts w:ascii="Times New Roman" w:hAnsi="Times New Roman" w:cs="Times New Roman" w:eastAsia="Times New Roman"/>
            <w:sz w:val="28"/>
            <w:b w:val="true"/>
            <w:color w:val="000000"/>
          </w:rPr>
          <w:t xml:space="preserve">ПРИЛОЖЕНИЕ А СТРУКТУРА ВЗАИМОДЕЙСТВИЯ И ПЕРЕЧЕНЬ ИНФОРМАЦИОННЫХ СИСТЕМ</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2" w:history="1">
        <w:r>
          <w:rPr>
            <w:rFonts w:ascii="Times New Roman" w:hAnsi="Times New Roman" w:cs="Times New Roman" w:eastAsia="Times New Roman"/>
            <w:sz w:val="28"/>
            <w:b w:val="true"/>
            <w:color w:val="000000"/>
          </w:rPr>
          <w:t xml:space="preserve">ПРИЛОЖЕНИЕ Б ИНДИКАТОРЫ РАННЕГО РЕАГИРОВАНИЯ И ШКАЛА ИНДЕКСА ЦИФРОВОГО ДОВЕРИЯ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3" w:history="1">
        <w:r>
          <w:rPr>
            <w:rFonts w:ascii="Times New Roman" w:hAnsi="Times New Roman" w:cs="Times New Roman" w:eastAsia="Times New Roman"/>
            <w:sz w:val="28"/>
            <w:b w:val="true"/>
            <w:color w:val="000000"/>
          </w:rPr>
          <w:t xml:space="preserve">ПРИЛОЖЕНИЕ В СЦЕНАРНЫЕ ДОПУЩЕНИЯ И СВОДНЫЕ РАСЧЁТЫ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ind w:firstLine="0"/>
      </w:pPr>
      <w:r>
        <w:br w:type="page"/>
      </w:r>
    </w:p>
    <w:p>
      <w:bookmarkStart w:id="1001" w:name="h_intro"/>
      <w:pPr>
        <w:pStyle w:val="Heading1"/>
      </w:pPr>
      <w:r>
        <w:rPr>
          <w:b/>
        </w:rPr>
        <w:t>ВВЕДЕНИЕ</w:t>
      </w:r>
      <w:bookmarkEnd w:id="1001"/>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продиктована тем, что коммерческая деятельность предприятий и территориальные подразделения экономической безопасности оказываются включёнными в один и тот же цифровой контур. Если торговое предприятие выводит ассортимент в сеть «Интернет» — будь то собственный сайт, маркетплейс, мессенджер-бот или мобильное приложение, — оно расширяет рынок, но одновременно умножает каналы атаки. В этом отношении подразделение полиции, отвечающее за противодействие экономическим и коррупционным преступлениям, постепенно перестаёт быть только инстанцией реагирования и приобретает черты аналитического и профилактического центра, к которому коммерческие предприятия объективно тяготеют.</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bookmarkStart w:id="1002" w:name="h_ch1"/>
      <w:pPr>
        <w:pStyle w:val="Heading1"/>
      </w:pPr>
      <w:r>
        <w:rPr>
          <w:b/>
        </w:rPr>
        <w:t>ГЛАВА 1. ТЕОРЕТИКО-МЕТОДОЛОГИЧЕСКИЕ ОСНОВЫ ПРИМЕНЕНИЯ ИНТЕРНЕТ-ТЕХНОЛОГИЙ В КОММЕРЧЕСКОЙ ДЕЯТЕЛЬНОСТИ ПРЕДПРИЯТИЙ</w:t>
      </w:r>
      <w:bookmarkEnd w:id="1002"/>
    </w:p>
    <w:p/>
    <w:p>
      <w:bookmarkStart w:id="1003" w:name="h_sec_1_1"/>
      <w:pPr>
        <w:pStyle w:val="Heading2"/>
      </w:pPr>
      <w:r>
        <w:t>1.1 Понятийно-сущностные основы интернет-технологий в коммерции: содержание, классификация, эволюция</w:t>
      </w:r>
      <w:bookmarkEnd w:id="1003"/>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bookmarkStart w:id="1004" w:name="h_sec_1_2"/>
      <w:pPr>
        <w:pStyle w:val="Heading2"/>
      </w:pPr>
      <w:r>
        <w:t>1.2 Зарубежный и отечественный опыт построения цифровых экосистем коммерческих предприятий</w:t>
      </w:r>
      <w:bookmarkEnd w:id="1004"/>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bookmarkStart w:id="1005" w:name="h_sec_1_3"/>
      <w:pPr>
        <w:pStyle w:val="Heading2"/>
      </w:pPr>
      <w:r>
        <w:t>1.3 Экономическая безопасность как фактор эффективности коммерческой деятельности в цифровой среде</w:t>
      </w:r>
      <w:bookmarkEnd w:id="1005"/>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Шкала интерпретации авторская: 0,80 и выше — высокий уровень устойчивости; 0,60 — 0,79 — приемлемый; 0,40 — 0,59 — ниже среднего; ниже 0,40 — критический.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будут приведены в третьей главе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bookmarkStart w:id="1006" w:name="h_ch2"/>
      <w:pPr>
        <w:pStyle w:val="Heading1"/>
      </w:pPr>
      <w:r>
        <w:rPr>
          <w:b/>
        </w:rPr>
        <w:t>ГЛАВА 2. АНАЛИЗ ПРИМЕНЕНИЯ ИНТЕРНЕТ-ТЕХНОЛОГИЙ В КОММЕРЧЕСКОЙ ДЕЯТЕЛЬНОСТИ ПРЕДПРИЯТИЙ ЮЗАО (ПО МАТЕРИАЛАМ ПРЕДДИПЛОМНОЙ ПРАКТИКИ В ОЭБИПК УВД ПО ЮЗАО)</w:t>
      </w:r>
      <w:bookmarkEnd w:id="1006"/>
    </w:p>
    <w:p/>
    <w:p>
      <w:bookmarkStart w:id="1007" w:name="h_sec_2_1"/>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1007"/>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ЮЗАО зарегистрировано более 48 тыс. юридических лиц и индивидуальных предпринимателей, из которых порядка 63 % фактически ведут деятельность в сети «Интернет» — через собственные сайты, маркетплейсы, мобильные приложения, мессенджеры и социальные сети. Эта концентрация цифровой коммерческой активности и определяет специфику работы ОЭБиПК: значительная часть выявляемых рисков и угроз лежит именно в сегменте интернет-торговли.</w:t>
      </w:r>
    </w:p>
    <w:p>
      <w:pPr>
        <w:jc w:val="both"/>
      </w:pPr>
      <w:r>
        <w:t>Среди основных функций ОЭБиПК УВД по ЮЗАО, имеющих отношение к настоящей работе, можно выделить: предупреждение, выявление, пресечение и раскрытие преступлений экономической направленности (главы 22 и 23 Уголовного кодекса Российской Федерации [4]); противодействие коррупционным правонарушениям (глава 30 Уголовного кодекса Российской Федерации [4]); участие в проверке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взаимодействие с органами прокуратуры, налоговой службы, Банка России, Росфинмониторинга, ФНС России по вопросам, отнесённым к компетенции; аналитическая и информационная работа в целях выявления и предупреждения схем уклонения от уплаты налогов, легализации доходов и недобросовестной конкуренции в цифровой среде.</w:t>
      </w:r>
    </w:p>
    <w:p>
      <w:pPr>
        <w:jc w:val="both"/>
      </w:pPr>
      <w:r>
        <w:t>Существенно, что Отдел экономической безопасности и противодействия коррупции не является коммерческой организацией и не осуществляет предпринимательскую деятельность. Однако в современной правоприменительной практике его профилактическая и аналитическая функция приобретает всё большее значение. Подразделение оказывает консультационную и информационную поддержку коммерческим предприятиям округа в части типичных уязвимостей интернет-каналов, признаков мошеннических схем, требований законодательства о персональных данных и о критической информационной инфраструктуре. Тем самым правоохранительная функция объективно смещается от исключительно реактивной (реакция после совершения преступления) к комплексной — профилактической, аналитической, надзорной и опережающей.</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В ходе преддипломной практики автору удалось ознакомиться с обобщёнными результатами работы аналитической службы за 2023 и 2024 годы [50]. Без раскрытия служебной информации можно отметить, что в структуре выявленных нарушений на территории ЮЗАО устойчиво растёт доля деяний, связанных с использованием интернет-технологий: фишинговых клонов известных интернет-магазинов, мошеннических ресурсов под видом доставочных сервисов, сговоров на электронных торговых площадках и схем «бумажного» налога на добавленную стоимость, оформляемых через цепочки технических контрагентов. Все эти схемы прямо или косвенно затрагивают коммерческие интересы предприятий, добросовестно ведущих интернет-торговлю.</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bookmarkStart w:id="1008" w:name="h_sec_2_2"/>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bookmarkEnd w:id="1008"/>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корпоративный сегмент («бизнес-для-бизнеса»)а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корпоративный сегмент-инструменты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bookmarkStart w:id="1009" w:name="h_sec_2_3"/>
      <w:pPr>
        <w:pStyle w:val="Heading2"/>
      </w:pPr>
      <w:r>
        <w:t>2.3 Анализ цифровых каналов, ассортиментной политики и факторов экономической безопасности модельной группы предприятий</w:t>
      </w:r>
      <w:bookmarkEnd w:id="1009"/>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велась по трёхуровневой шкале: «–» отсутствие или неудовлетворительное состояние меры, «±» частичная реализация, «+» полная или удовлетворительная реализация. Сводный результат позволяет визуально соотнести профили цифровой устойчивости пяти предприятий.</w:t>
      </w:r>
    </w:p>
    <w:p>
      <w:pPr>
        <w:spacing w:line="240" w:lineRule="auto"/>
        <w:ind w:firstLine="0"/>
        <w:jc w:val="left"/>
      </w:pPr>
      <w:r>
        <w:rPr>
          <w:rFonts w:ascii="Times New Roman" w:hAnsi="Times New Roman"/>
          <w:sz w:val="28"/>
        </w:rPr>
        <w:t>Таблица 6 — Сводная оценка уровня защищённости интернет-каналов модельной группы предприятий ЮЗАО</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 24 ч)</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По обобщённой оценке Банка России [49], около 70 % инцидентов в коммерческих организациях вызваны не техническими, а социально-инженерными атаками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Второе характерное «слабое звено» — антифрод-модуль для платежей: у П-2 и П-5 он отсутствует, у П-3 — реализован частично; это формирует точку, в которой потери от мошенничества с банковскими картами и переводов могут быть наиболее заметными.</w:t>
      </w:r>
    </w:p>
    <w:p>
      <w:pPr>
        <w:jc w:val="both"/>
      </w:pPr>
      <w:r>
        <w:t>На основе таблиц 4–6 рассчитан индекс цифрового доверия (ИЦД), введённый в первой главе. Для перевода качественных оценок в численные значения приняты следующие правила: «+» — 1,00, «±» — 0,50, «−» — 0,00.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bookmarkStart w:id="1010" w:name="h_ch3"/>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1010"/>
    </w:p>
    <w:p/>
    <w:p>
      <w:bookmarkStart w:id="1011" w:name="h_sec_3_1"/>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11"/>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предлагается выделить пять «индикаторов раннего реагирования»: (1) резкий рост обращений граждан в части ущерба от взаимодействия с предприятием; (2) появление фишинговых клонов сайтов; (3) учащение возвратов через обратный платёж по оспариванию по операциям предприятия; (4) изменения в составе бенефициаров и руководителей контрагентов; (5) аномальное поведение цен и скидок на маркетплейсах, характерное для схем «обналички». При срабатывании двух и более индикаторов одновременно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[26; 50]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bookmarkStart w:id="1012" w:name="h_sec_3_2"/>
      <w:pPr>
        <w:pStyle w:val="Heading2"/>
      </w:pPr>
      <w:r>
        <w:t>3.2 Расчёт экономической эффективности предложенных мероприятий по модели «до/после»</w:t>
      </w:r>
      <w:bookmarkEnd w:id="1012"/>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[49].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bookmarkStart w:id="1013" w:name="h_sec_3_3"/>
      <w:pPr>
        <w:pStyle w:val="Heading2"/>
      </w:pPr>
      <w:r>
        <w:t>3.3 Перспективные направления развития применения интернет-технологий в коммерческой деятельности предприятий ЮЗАО</w:t>
      </w:r>
      <w:bookmarkEnd w:id="1013"/>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bookmarkStart w:id="1014" w:name="h_concl"/>
      <w:pPr>
        <w:pStyle w:val="Heading1"/>
      </w:pPr>
      <w:r>
        <w:rPr>
          <w:b/>
        </w:rPr>
        <w:t>ЗАКЛЮЧЕНИЕ</w:t>
      </w:r>
      <w:bookmarkEnd w:id="1014"/>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bookmarkStart w:id="1015" w:name="h_sources"/>
      <w:pPr>
        <w:pStyle w:val="Heading1"/>
      </w:pPr>
      <w:r>
        <w:rPr>
          <w:b/>
        </w:rPr>
        <w:t>СПИСОК ИСПОЛЬЗОВАННЫХ ИСТОЧНИКОВ</w:t>
      </w:r>
      <w:bookmarkEnd w:id="1015"/>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bookmarkStart w:id="1016" w:name="h_app_1"/>
      <w:pPr>
        <w:pStyle w:val="Heading1"/>
      </w:pPr>
      <w:r>
        <w:rPr>
          <w:b/>
        </w:rPr>
        <w:t>ПРИЛОЖЕНИЕ А СТРУКТУРА ВЗАИМОДЕЙСТВИЯ И ПЕРЕЧЕНЬ ИНФОРМАЦИОННЫХ СИСТЕМ</w:t>
      </w:r>
      <w:bookmarkEnd w:id="1016"/>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bookmarkStart w:id="1017" w:name="h_app_2"/>
      <w:pPr>
        <w:pStyle w:val="Heading1"/>
      </w:pPr>
      <w:r>
        <w:rPr>
          <w:b/>
        </w:rPr>
        <w:t>ПРИЛОЖЕНИЕ Б ИНДИКАТОРЫ РАННЕГО РЕАГИРОВАНИЯ И ШКАЛА ИНДЕКСА ЦИФРОВОГО ДОВЕРИЯ</w:t>
      </w:r>
      <w:bookmarkEnd w:id="1017"/>
    </w:p>
    <w:p/>
    <w:p>
      <w:pPr>
        <w:jc w:val="both"/>
      </w:pPr>
      <w:r>
        <w:t>В приложении приведён обобщённый перечень индикаторов раннего реагирования и шкала оценки индекса цифрового доверия, использованных в основной части работы.</w:t>
      </w:r>
    </w:p>
    <w:p>
      <w:pPr>
        <w:jc w:val="both"/>
      </w:pPr>
      <w:r>
        <w:t>Пять индикаторов раннего реагирования:</w:t>
      </w:r>
    </w:p>
    <w:p>
      <w:pPr>
        <w:jc w:val="both"/>
      </w:pPr>
      <w:r>
        <w:t>1. Резкий рост обращений граждан о подозрительных операциях в адрес предприятия (более чем в три раза за месяц по отношению к среднему уровню за квартал).</w:t>
      </w:r>
    </w:p>
    <w:p>
      <w:pPr>
        <w:jc w:val="both"/>
      </w:pPr>
      <w:r>
        <w:t>2. Появление фишинговых клонов сайтов или сервисов предприятия в открытом поиске.</w:t>
      </w:r>
    </w:p>
    <w:p>
      <w:pPr>
        <w:jc w:val="both"/>
      </w:pPr>
      <w:r>
        <w:t>3. Учащение возвратов через обратный платёж по оспариванию по операциям предприятия (доля выше 1,5 % при норме 0,9–1,8 %).</w:t>
      </w:r>
    </w:p>
    <w:p>
      <w:pPr>
        <w:jc w:val="both"/>
      </w:pPr>
      <w:r>
        <w:t>4. Изменения в составе бенефициаров и руководителей контрагентов, перекрывающие три юридических звена.</w:t>
      </w:r>
    </w:p>
    <w:p>
      <w:pPr>
        <w:jc w:val="both"/>
      </w:pPr>
      <w:r>
        <w:t>5. Аномальное поведение цен и скидок на маркетплейсах, характерное для схем «обналички» (отклонение более чем на сорок процентов от средней цены ассортимента).</w:t>
      </w:r>
    </w:p>
    <w:p>
      <w:pPr>
        <w:jc w:val="both"/>
      </w:pPr>
      <w:r>
        <w:t>Шкала индекса цифрового доверия (ИЦД):</w:t>
      </w:r>
    </w:p>
    <w:p>
      <w:pPr>
        <w:jc w:val="both"/>
      </w:pPr>
      <w:r>
        <w:t>0,80 и выше — высокий уровень устойчивости;</w:t>
      </w:r>
    </w:p>
    <w:p>
      <w:pPr>
        <w:jc w:val="both"/>
      </w:pPr>
      <w:r>
        <w:t>0,60 — 0,79 — приемлемый уровень устойчивости;</w:t>
      </w:r>
    </w:p>
    <w:p>
      <w:pPr>
        <w:jc w:val="both"/>
      </w:pPr>
      <w:r>
        <w:t>0,40 — 0,59 — уровень ниже среднего, требуется усиление мер;</w:t>
      </w:r>
    </w:p>
    <w:p>
      <w:pPr>
        <w:jc w:val="both"/>
      </w:pPr>
      <w:r>
        <w:t>ниже 0,40 — критический уровень, требуется срочное вмешательство.</w:t>
      </w:r>
    </w:p>
    <w:p>
      <w:pPr>
        <w:ind w:firstLine="0"/>
      </w:pPr>
      <w:r>
        <w:br w:type="page"/>
      </w:r>
    </w:p>
    <w:p>
      <w:bookmarkStart w:id="1018" w:name="h_app_3"/>
      <w:pPr>
        <w:pStyle w:val="Heading1"/>
      </w:pPr>
      <w:r>
        <w:rPr>
          <w:b/>
        </w:rPr>
        <w:t>ПРИЛОЖЕНИЕ В СЦЕНАРНЫЕ ДОПУЩЕНИЯ И СВОДНЫЕ РАСЧЁТЫ</w:t>
      </w:r>
      <w:bookmarkEnd w:id="1018"/>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