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40" w:lineRule="auto" w:after="240"/>
        <w:ind w:firstLine="0"/>
        <w:jc w:val="center"/>
      </w:pPr>
      <w:r>
        <w:rPr>
          <w:b/>
        </w:rPr>
        <w:t>ОГЛАВЛЕНИЕ</w:t>
      </w:r>
    </w:p>
    <w:p>
      <w:pPr>
        <w:tabs>
          <w:tab w:pos="9071" w:val="right" w:leader="dot"/>
        </w:tabs>
        <w:spacing w:line="360" w:lineRule="auto" w:after="0" w:before="0"/>
        <w:ind w:firstLine="0"/>
        <w:jc w:val="left"/>
      </w:pPr>
      <w:hyperlink w:anchor="h_intro" w:history="1">
        <w:r>
          <w:rPr>
            <w:rFonts w:ascii="Times New Roman" w:hAnsi="Times New Roman" w:cs="Times New Roman" w:eastAsia="Times New Roman"/>
            <w:sz w:val="28"/>
            <w:b w:val="true"/>
            <w:color w:val="000000"/>
          </w:rPr>
          <w:t xml:space="preserve">ВВЕДЕНИЕ</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h_intro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jc w:val="left"/>
      </w:pPr>
      <w:hyperlink w:anchor="h_ch1" w:history="1">
        <w:r>
          <w:rPr>
            <w:rFonts w:ascii="Times New Roman" w:hAnsi="Times New Roman" w:cs="Times New Roman" w:eastAsia="Times New Roman"/>
            <w:sz w:val="28"/>
            <w:b w:val="true"/>
            <w:color w:val="000000"/>
          </w:rPr>
          <w:t xml:space="preserve">ГЛАВА 1. ТЕОРЕТИКО-МЕТОДОЛОГИЧЕСКИЕ ОСНОВЫ ПРИМЕНЕНИЯ ИНТЕРНЕТ-ТЕХНОЛОГИЙ В КОММЕРЧЕСКОЙ ДЕЯТЕЛЬНОСТИ ПРЕДПРИЯТИЙ</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h_ch1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left="425"/>
        <w:jc w:val="left"/>
      </w:pPr>
      <w:hyperlink w:anchor="h_sec_1_1" w:history="1">
        <w:r>
          <w:rPr>
            <w:rFonts w:ascii="Times New Roman" w:hAnsi="Times New Roman" w:cs="Times New Roman" w:eastAsia="Times New Roman"/>
            <w:sz w:val="28"/>
            <w:color w:val="000000"/>
          </w:rPr>
          <w:t xml:space="preserve">1.1 Понятийно-сущностные основы интернет-технологий в коммерции: содержание, классификация, эволюция</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h_sec_1_1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left="425"/>
        <w:jc w:val="left"/>
      </w:pPr>
      <w:hyperlink w:anchor="h_sec_1_2" w:history="1">
        <w:r>
          <w:rPr>
            <w:rFonts w:ascii="Times New Roman" w:hAnsi="Times New Roman" w:cs="Times New Roman" w:eastAsia="Times New Roman"/>
            <w:sz w:val="28"/>
            <w:color w:val="000000"/>
          </w:rPr>
          <w:t xml:space="preserve">1.2 Зарубежный и отечественный опыт построения цифровых экосистем коммерческих предприятий</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h_sec_1_2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left="425"/>
        <w:jc w:val="left"/>
      </w:pPr>
      <w:hyperlink w:anchor="h_sec_1_3" w:history="1">
        <w:r>
          <w:rPr>
            <w:rFonts w:ascii="Times New Roman" w:hAnsi="Times New Roman" w:cs="Times New Roman" w:eastAsia="Times New Roman"/>
            <w:sz w:val="28"/>
            <w:color w:val="000000"/>
          </w:rPr>
          <w:t xml:space="preserve">1.3 Экономическая безопасность как фактор эффективности коммерческой деятельности в цифровой среде</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h_sec_1_3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jc w:val="left"/>
      </w:pPr>
      <w:hyperlink w:anchor="h_ch2" w:history="1">
        <w:r>
          <w:rPr>
            <w:rFonts w:ascii="Times New Roman" w:hAnsi="Times New Roman" w:cs="Times New Roman" w:eastAsia="Times New Roman"/>
            <w:sz w:val="28"/>
            <w:b w:val="true"/>
            <w:color w:val="000000"/>
          </w:rPr>
          <w:t xml:space="preserve">ГЛАВА 2. АНАЛИЗ ОРГАНИЗАЦИОННО-ЭКОНОМИЧЕСКИХ УСЛОВИЙ ПРИМЕНЕНИЯ ИНТЕРНЕТ-ТЕХНОЛОГИЙ В КОММЕРЧЕСКОЙ ДЕЯТЕЛЬНОСТИ ПРЕДПРИЯТИЙ ЮГО-ЗАПАДНОГО АДМИНИСТРАТИВНОГО ОКРУГА Г. МОСКВЫ</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h_ch2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left="425"/>
        <w:jc w:val="left"/>
      </w:pPr>
      <w:hyperlink w:anchor="h_sec_2_1" w:history="1">
        <w:r>
          <w:rPr>
            <w:rFonts w:ascii="Times New Roman" w:hAnsi="Times New Roman" w:cs="Times New Roman" w:eastAsia="Times New Roman"/>
            <w:sz w:val="28"/>
            <w:color w:val="000000"/>
          </w:rPr>
          <w:t xml:space="preserve">2.1 Организационно-правовая характеристика ОЭБиПК УВД по ЮЗАО и её роль в обеспечении экономической безопасности коммерческих предприятий округа</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h_sec_2_1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left="425"/>
        <w:jc w:val="left"/>
      </w:pPr>
      <w:hyperlink w:anchor="h_sec_2_2" w:history="1">
        <w:r>
          <w:rPr>
            <w:rFonts w:ascii="Times New Roman" w:hAnsi="Times New Roman" w:cs="Times New Roman" w:eastAsia="Times New Roman"/>
            <w:sz w:val="28"/>
            <w:color w:val="000000"/>
          </w:rPr>
          <w:t xml:space="preserve">2.2 Организационно-экономическая характеристика модельной группы коммерческих предприятий-аналогов, применяющих интернет-технологии</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h_sec_2_2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left="425"/>
        <w:jc w:val="left"/>
      </w:pPr>
      <w:hyperlink w:anchor="h_sec_2_3" w:history="1">
        <w:r>
          <w:rPr>
            <w:rFonts w:ascii="Times New Roman" w:hAnsi="Times New Roman" w:cs="Times New Roman" w:eastAsia="Times New Roman"/>
            <w:sz w:val="28"/>
            <w:color w:val="000000"/>
          </w:rPr>
          <w:t xml:space="preserve">2.3 Анализ цифровых каналов, ассортиментной политики и факторов экономической безопасности модельной группы предприятий</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h_sec_2_3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jc w:val="left"/>
      </w:pPr>
      <w:hyperlink w:anchor="h_ch3" w:history="1">
        <w:r>
          <w:rPr>
            <w:rFonts w:ascii="Times New Roman" w:hAnsi="Times New Roman" w:cs="Times New Roman" w:eastAsia="Times New Roman"/>
            <w:sz w:val="28"/>
            <w:b w:val="true"/>
            <w:color w:val="000000"/>
          </w:rPr>
          <w:t xml:space="preserve">ГЛАВА 3. ПЕРСПЕКТИВЫ ПРИМЕНЕНИЯ ИНТЕРНЕТ-ТЕХНОЛОГИЙ В КОММЕРЧЕСКОЙ ДЕЯТЕЛЬНОСТИ ПРЕДПРИЯТИЙ ЮЗАО И ОЦЕНКА ЭФФЕКТИВНОСТИ ПРЕДЛАГАЕМЫХ КОНЦЕПТУАЛЬНЫХ ПРЕДЛОЖЕНИЙ</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h_ch3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left="425"/>
        <w:jc w:val="left"/>
      </w:pPr>
      <w:hyperlink w:anchor="h_sec_3_1" w:history="1">
        <w:r>
          <w:rPr>
            <w:rFonts w:ascii="Times New Roman" w:hAnsi="Times New Roman" w:cs="Times New Roman" w:eastAsia="Times New Roman"/>
            <w:sz w:val="28"/>
            <w:color w:val="000000"/>
          </w:rPr>
          <w:t xml:space="preserve">3.1 Концептуальные предложения по профилактике, аналитике, цифровому мониторингу и межведомственному обмену данными как комплексу мер ОЭБиПК для коммерческих предприятий</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h_sec_3_1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left="425"/>
        <w:jc w:val="left"/>
      </w:pPr>
      <w:hyperlink w:anchor="h_sec_3_2" w:history="1">
        <w:r>
          <w:rPr>
            <w:rFonts w:ascii="Times New Roman" w:hAnsi="Times New Roman" w:cs="Times New Roman" w:eastAsia="Times New Roman"/>
            <w:sz w:val="28"/>
            <w:color w:val="000000"/>
          </w:rPr>
          <w:t xml:space="preserve">3.2 Расчёт экономической эффективности предложенных мероприятий по модели «до/после»</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h_sec_3_2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left="425"/>
        <w:jc w:val="left"/>
      </w:pPr>
      <w:hyperlink w:anchor="h_sec_3_3" w:history="1">
        <w:r>
          <w:rPr>
            <w:rFonts w:ascii="Times New Roman" w:hAnsi="Times New Roman" w:cs="Times New Roman" w:eastAsia="Times New Roman"/>
            <w:sz w:val="28"/>
            <w:color w:val="000000"/>
          </w:rPr>
          <w:t xml:space="preserve">3.3 Перспективные направления развития применения интернет-технологий в коммерческой деятельности предприятий ЮЗАО</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h_sec_3_3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jc w:val="left"/>
      </w:pPr>
      <w:hyperlink w:anchor="h_concl" w:history="1">
        <w:r>
          <w:rPr>
            <w:rFonts w:ascii="Times New Roman" w:hAnsi="Times New Roman" w:cs="Times New Roman" w:eastAsia="Times New Roman"/>
            <w:sz w:val="28"/>
            <w:b w:val="true"/>
            <w:color w:val="000000"/>
          </w:rPr>
          <w:t xml:space="preserve">ЗАКЛЮЧЕНИЕ</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h_concl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jc w:val="left"/>
      </w:pPr>
      <w:hyperlink w:anchor="h_sources" w:history="1">
        <w:r>
          <w:rPr>
            <w:rFonts w:ascii="Times New Roman" w:hAnsi="Times New Roman" w:cs="Times New Roman" w:eastAsia="Times New Roman"/>
            <w:sz w:val="28"/>
            <w:b w:val="true"/>
            <w:color w:val="000000"/>
          </w:rPr>
          <w:t xml:space="preserve">СПИСОК ИСПОЛЬЗОВАННЫХ ИСТОЧНИКОВ</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h_sources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jc w:val="left"/>
      </w:pPr>
      <w:hyperlink w:anchor="h_app_1" w:history="1">
        <w:r>
          <w:rPr>
            <w:rFonts w:ascii="Times New Roman" w:hAnsi="Times New Roman" w:cs="Times New Roman" w:eastAsia="Times New Roman"/>
            <w:sz w:val="28"/>
            <w:b w:val="true"/>
            <w:color w:val="000000"/>
          </w:rPr>
          <w:t xml:space="preserve">ПРИЛОЖЕНИЕ А СТРУКТУРА ВЗАИМОДЕЙСТВИЯ И ПЕРЕЧЕНЬ ИНФОРМАЦИОННЫХ СИСТЕМ</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h_app_1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jc w:val="left"/>
      </w:pPr>
      <w:hyperlink w:anchor="h_app_2" w:history="1">
        <w:r>
          <w:rPr>
            <w:rFonts w:ascii="Times New Roman" w:hAnsi="Times New Roman" w:cs="Times New Roman" w:eastAsia="Times New Roman"/>
            <w:sz w:val="28"/>
            <w:b w:val="true"/>
            <w:color w:val="000000"/>
          </w:rPr>
          <w:t xml:space="preserve">ПРИЛОЖЕНИЕ Б ИНДИКАТОРЫ РАННЕГО РЕАГИРОВАНИЯ И ШКАЛА ИНДЕКСА ЦИФРОВОГО ДОВЕРИЯ</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h_app_2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jc w:val="left"/>
      </w:pPr>
      <w:hyperlink w:anchor="h_app_3" w:history="1">
        <w:r>
          <w:rPr>
            <w:rFonts w:ascii="Times New Roman" w:hAnsi="Times New Roman" w:cs="Times New Roman" w:eastAsia="Times New Roman"/>
            <w:sz w:val="28"/>
            <w:b w:val="true"/>
            <w:color w:val="000000"/>
          </w:rPr>
          <w:t xml:space="preserve">ПРИЛОЖЕНИЕ В СЦЕНАРНЫЕ ДОПУЩЕНИЯ И СВОДНЫЕ РАСЧЁТЫ</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h_app_3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ind w:firstLine="0"/>
      </w:pPr>
      <w:r>
        <w:br w:type="page"/>
      </w:r>
    </w:p>
    <w:p>
      <w:bookmarkStart w:id="1001" w:name="h_intro"/>
      <w:pPr>
        <w:pStyle w:val="Heading1"/>
      </w:pPr>
      <w:r>
        <w:rPr>
          <w:b/>
        </w:rPr>
        <w:t>ВВЕДЕНИЕ</w:t>
      </w:r>
      <w:bookmarkEnd w:id="1001"/>
    </w:p>
    <w:p/>
    <w:p>
      <w:pPr>
        <w:jc w:val="both"/>
      </w:pPr>
      <w:r>
        <w:t>Цифровая трансформация коммерческой деятельности перестала быть лозунгом и превратилась в повседневную хозяйственную практику. По агрегированным данным Ассоциации компаний интернет-торговли и аналитического агентства «Дата Инсайт» (ООО «Дата Инсайт»), объём российского рынка электронной торговли в 2024 году достиг отметки около 9,1 трлн руб. при росте по отношению к 2023 году более чем на тридцать пять процентов [52; 53], а доля онлайн-канала в обороте розницы поднялась до 15–16 %. На фоне этих показателей оборотной стороной массового использования интернет-технологий стали системные угрозы экономической безопасности: за 2024 год Министерством внутренних дел Российской Федерации зарегистрировано порядка 765 тыс. преступлений, совершённых с использованием информационных технологий, а суммарный ущерб от киберэкономических посягательств превысил 150 млрд руб. [49; 50] Именно это сочетание роста и риска делает выбранную тему практически значимой.</w:t>
      </w:r>
    </w:p>
    <w:p>
      <w:pPr>
        <w:jc w:val="both"/>
      </w:pPr>
      <w:r>
        <w:t>Актуальность исследования обусловлена тем, что коммерческая деятельность предприятий и работа территориальных подразделений экономической безопасности всё чаще развиваются в едином цифровом пространстве. Размещение ассортимента в сети «Интернет» через собственный сайт, маркетплейс, мессенджер-бот или мобильное приложение позволяет торговому предприятию выходить на новые группы покупателей, но одновременно увеличивает количество возможных каналов для мошеннических и иных противоправных действий. В этих условиях подразделение полиции, отвечающее за противодействие экономическим и коррупционным преступлениям, постепенно перестаёт выполнять только функцию реагирования на уже совершённые нарушения и всё больше выступает как аналитический и профилактический центр, способный содействовать снижению цифровых рисков коммерческих предприятий.</w:t>
      </w:r>
    </w:p>
    <w:p>
      <w:pPr>
        <w:jc w:val="both"/>
      </w:pPr>
      <w:r>
        <w:t>Цель работы — на основе исследования теории и практики применения интернет-технологий в коммерческой деятельности предприятий разработать комплекс концептуальных предложений по повышению её эффективности за счёт усиления экономической безопасности при информационно-аналитической поддержке Отдела экономической безопасности и противодействия коррупции УВД по ЮЗАО [13; 20] ГУ МВД России по г. Москве.</w:t>
      </w:r>
    </w:p>
    <w:p>
      <w:pPr>
        <w:jc w:val="both"/>
      </w:pPr>
      <w:r>
        <w:t>Для достижения поставленной цели в работе последовательно решаются следующие задачи: раскрыть понятийно-сущностные основы применения интернет-технологий в коммерческой деятельности; систематизировать зарубежный и отечественный опыт построения цифровых экосистем; определить место и роль экономической безопасности в обеспечении эффективности коммерческой деятельности в цифровой среде; дать организационно-правовую характеристику ОЭБиПК УВД по ЮЗАО и описать сферу её взаимодействия с коммерческими предприятиями округа; провести анализ модельной группы коммерческих предприятий ЮЗАО, применяющих интернет-технологии; выявить уязвимости и угрозы экономической безопасности применения интернет-технологий; разработать концептуальные предложения по профилактике, аналитике, цифровому мониторингу и межведомственному обмену данными как комплексу мер; оценить экономическую эффективность предложенных мероприятий и определить перспективные направления развития.</w:t>
      </w:r>
    </w:p>
    <w:p>
      <w:pPr>
        <w:jc w:val="both"/>
      </w:pPr>
      <w:r>
        <w:t>Объектом исследования выступает совокупность коммерческих организаций ЮЗАО г. Москвы, осуществляющих торгово-сбытовую деятельность с использованием интернет-технологий и попадающих в орбиту профилактической, аналитической и контрольной работы Отдела экономической безопасности и противодействия коррупции УВД по ЮЗАО. В качестве модельной группы выделены пять предприятий-аналогов (обозначены как П-1 — П-5; названия и реквизиты обезличены в соответствии со ст. 161 УПК РФ и ФЗ № 152-ФЗ «О персональных данных»).</w:t>
      </w:r>
    </w:p>
    <w:p>
      <w:pPr>
        <w:jc w:val="both"/>
      </w:pPr>
      <w:r>
        <w:t>Предметом исследования являются перспективы применения интернет-технологий в коммерческой деятельности указанных предприятий и совокупность экономико-управленческих и организационно-правовых отношений, возникающих между этими предприятиями и подразделением экономической безопасности в части обеспечения устойчивости цифровых каналов продаж.</w:t>
      </w:r>
    </w:p>
    <w:p>
      <w:pPr>
        <w:jc w:val="both"/>
      </w:pPr>
      <w:r>
        <w:t>Методологическую основу работы составляют общенаучные методы — анализ, синтез, обобщение, сравнение, абстрагирование; частнонаучные — статистический, графический, структурно-функциональный, контент-анализ нормативно-правовых актов; эмпирические — наблюдение, изучение документации и экспертные оценки, полученные в ходе преддипломной практики. Информационную базу исследования образуют положения Конституции Российской Федерации [1], Гражданского [2; 3] и Уголовного [4] кодексов Российской Федерации, федеральных законов № 3-ФЗ «О полиции», № 273-ФЗ «О противодействии коррупции», № 152-ФЗ, № 149-ФЗ, № 187-ФЗ, № 115-ФЗ, Стратегии национальной безопасности Российской Федерации [17], Указа Президента Российской Федерации № 250 от 1 мая 2022 года [18], национального проекта «Экономика данных и цифровая трансформация государства», научные работы российских авторов 2022–2025 годов, статистические данные Росстата [48], Банка России [49], ФНС России [55], Минцифры России [51], Ассоциации компаний интернет-торговли [52] и аналитического агентства «Дата Инсайт» [53] (ООО «Дата Инсайт»).</w:t>
      </w:r>
    </w:p>
    <w:p>
      <w:pPr>
        <w:jc w:val="both"/>
      </w:pPr>
      <w:r>
        <w:t>Научно-практическая значимость работы видится в том, что предложенный комплекс мер сочетает классические подходы к экономической безопасности с современными цифровыми инструментами (СБП, «Честный знак», ГосТех, платформа «Знай своего клиента» Банка России, АИС МВД, СПАРК-Интерфакс, Контур.Фокус), формируя для коммерческих предприятий ЮЗАО прикладную модель «бизнес — подразделение ЭБиПК — межведомственная среда». Тем самым на ограниченной территории отрабатывается принцип, к которому стремится национальный проект «Экономика данных»: переход правоохранительной функции от реакции к профилактике, аналитике, цифровому мониторингу и межведомственному обмену данными.</w:t>
      </w:r>
    </w:p>
    <w:p>
      <w:pPr>
        <w:jc w:val="both"/>
      </w:pPr>
      <w:r>
        <w:t>Структура работы традиционна и подчинена логике задач. Первая глава посвящена понятийному аппарату, обзору зарубежного и отечественного опыта и категории экономической безопасности в цифровой среде. Вторая глава носит аналитический характер и опирается на материалы преддипломной практики в ОЭБиПК УВД по ЮЗАО: даётся характеристика подразделения, описывается модельная группа коммерческих предприятий, проводится оценка их цифровых каналов и выявляются уязвимости. Третья глава содержит авторскую программу концептуальных предложений, расчёт экономической эффективности по модели «до/после» и обзор перспективных направлений. В заключении сформулированы выводы по цели и задачам, а также практические рекомендации, на основе которых формируется защитный доклад.</w:t>
      </w:r>
    </w:p>
    <w:p>
      <w:pPr>
        <w:ind w:firstLine="0"/>
      </w:pPr>
      <w:r>
        <w:br w:type="page"/>
      </w:r>
    </w:p>
    <w:p>
      <w:bookmarkStart w:id="1002" w:name="h_ch1"/>
      <w:pPr>
        <w:pStyle w:val="Heading1"/>
      </w:pPr>
      <w:r>
        <w:rPr>
          <w:b/>
        </w:rPr>
        <w:t>ГЛАВА 1. ТЕОРЕТИКО-МЕТОДОЛОГИЧЕСКИЕ ОСНОВЫ ПРИМЕНЕНИЯ ИНТЕРНЕТ-ТЕХНОЛОГИЙ В КОММЕРЧЕСКОЙ ДЕЯТЕЛЬНОСТИ ПРЕДПРИЯТИЙ</w:t>
      </w:r>
      <w:bookmarkEnd w:id="1002"/>
    </w:p>
    <w:p/>
    <w:p>
      <w:bookmarkStart w:id="1003" w:name="h_sec_1_1"/>
      <w:pPr>
        <w:pStyle w:val="Heading2"/>
      </w:pPr>
      <w:r>
        <w:t>1.1 Понятийно-сущностные основы интернет-технологий в коммерции: содержание, классификация, эволюция</w:t>
      </w:r>
      <w:bookmarkEnd w:id="1003"/>
    </w:p>
    <w:p/>
    <w:p>
      <w:pPr>
        <w:jc w:val="both"/>
      </w:pPr>
      <w:r>
        <w:t>Применение интернет-технологий в коммерческой деятельности предприятий следует рассматривать как многослойный феномен, охватывающий технологическую, экономическую и организационно-правовую плоскости. С технологической точки зрения речь идёт о совокупности сетевых программно-аппаратных средств — веб-сайтов, мобильных приложений, мессенджер-ботов, маркетплейсов, систем управления взаимоотношениями с клиентами, систем планирования ресурсов предприятия, сервисов обработки больших данных, технологий распределённого реестра и сервисов безналичных расчётов, в том числе Системы быстрых платежей Банка России. С экономической точки зрения интернет-технологии формируют новые каналы создания добавленной стоимости и трансформируют структуру издержек коммерческого предприятия. С организационно-правовой — выводят коммерческие отношения в сферу действия специального законодательства: о персональных данных, об информации, о критической информационной инфраструктуре, об электронной подписи, о защите прав потребителей и о цифровых финансовых активах.</w:t>
      </w:r>
    </w:p>
    <w:p>
      <w:pPr>
        <w:jc w:val="both"/>
      </w:pPr>
      <w:r>
        <w:t>Если опираться на работы российских авторов последних лет, в первую очередь Колесова Ю. И. [35], Поляковой Н. Б. [37], Самариной Е. А. [39], Прокофьевой Е. Н. [38], Дятлова С. А. [30], Калугиной О. А. [33], можно увидеть, что устойчивого терминологического согласия по этой категории пока нет. Одни исследователи трактуют интернет-технологии узко — как технику электронной торговли. Другие включают сюда любые цифровые каналы коммуникации с потребителем. Третьи — настаивают на расширительной трактовке, охватывающей все процессы коммерческой деятельности: закупку, логистику, маркетинг, продажу, расчёты, послепродажное обслуживание. В работе принят третий подход, поскольку именно он позволяет учесть взаимосвязь коммерческой эффективности и экономической безопасности на всех этапах хозяйственного цикла.</w:t>
      </w:r>
    </w:p>
    <w:p>
      <w:pPr>
        <w:jc w:val="both"/>
      </w:pPr>
      <w:r>
        <w:t>Содержательно интернет-технологии в коммерции выполняют шесть взаимосвязанных функций. Первая — функция формирования спроса: размещение информации о товаре в каталогах, на маркетплейсах, в социальных сетях и поисковых системах. Вторая — функция оформления сделки: интернет-магазин, корзина, заказ, выставление счёта. Третья — функция расчётов: эквайринг, СБП, переводы по биометрии, цифровые финансовые активы. Четвёртая — функция логистики: складская автоматизация, фулфилмент-сервисы, агрегаторы доставки. Пятая — функция послепродажного сервиса: чат-боты, личные кабинеты, программы лояльности, рекомендательные системы. Шестая — функция аналитики: сбор и обработка цифровых следов клиента, прогнозирование спроса, динамическое ценообразование. Каждой функции соответствует свой набор интернет-технологий и собственный спектр угроз экономической безопасности.</w:t>
      </w:r>
    </w:p>
    <w:p>
      <w:pPr>
        <w:jc w:val="both"/>
      </w:pPr>
      <w:r>
        <w:t>С точки зрения классификации полезно различать четыре уровня интернет-технологий в коммерческой деятельности. Первый уровень — инфраструктурный: серверы, центры обработки данных, каналы связи, средства защиты периметра. Второй — программно-сервисный: системы управления контентом, управление взаимоотношениями с клиентами, планирование ресурсов предприятия, системы электронного документооборота. Третий — каналы взаимодействия: сайт, мобильное приложение, маркетплейс, социальные сети, мессенджеры. Четвёртый — сервисы расчётов и логистики: СБП, эквайринг, агрегаторы доставки, цифровые финансовые активы. Угрозы и риски имеют разную природу на каждом уровне: на инфраструктурном это атак распределённого отказа в обслуживаниии и физический отказ оборудования, на программно-сервисном — несанкционированный доступ к базам данных, на канальном — фишинг и репутационные атаки, на расчётно-логистическом — мошенничество с использованием платёжных инструментов и обратные платежи по оспариванию.</w:t>
      </w:r>
    </w:p>
    <w:p>
      <w:pPr>
        <w:jc w:val="both"/>
      </w:pPr>
      <w:r>
        <w:t>В работе предлагается рассматривать интернет-технологии в коммерческой деятельности предприятия как организованную в виде многоуровневой архитектуры совокупность сетевых программно-технических средств и связанных с ними экономико-организационных процедур, обеспечивающих формирование спроса, заключение, исполнение и аналитическое сопровождение сделок купли-продажи товаров и услуг, а также защищающих коммерческую тайну, имущественные интересы и репутацию предприятия в цифровой среде. Такое определение, с одной стороны, опирается на сложившуюся научную традицию, а с другой — учитывает важнейшую составляющую современной хозяйственной практики — обеспечение экономической безопасности.</w:t>
      </w:r>
    </w:p>
    <w:p>
      <w:pPr>
        <w:jc w:val="both"/>
      </w:pPr>
      <w:r>
        <w:t>Историческая логика развития интернет-технологий в российской коммерческой деятельности характеризуется тремя последовательными волнами. Первая волна, охватившая 1998–2008 годы, связана с появлением первых интернет-магазинов, простых сайтов-визиток и систем электронной почты. Вторая волна, 2008–2018 годов, отмечена развитием платёжной инфраструктуры, появлением маркетплейсов, мобильных приложений банков и крупных торговых сетей. Третья волна, начавшаяся около 2018 года и продолжающаяся в настоящее время, характеризуется формированием цифровых экосистем, развитием рекомендательных алгоритмов на основе искусственного интеллекта, обязательной маркировкой товаров «Честным знаком», стремительным распространением Системы быстрых платежей и параллельным усилением требований экономической безопасности — после Указа Президента Российской Федерации № 250 от 1 мая 2022 года и обновления Стратегии национальной безопасности.</w:t>
      </w:r>
    </w:p>
    <w:p>
      <w:pPr>
        <w:jc w:val="both"/>
      </w:pPr>
      <w:r>
        <w:t>Из материалов справочного характера, изученных автором в ходе преддипломной практики, прослеживается важная закономерность: чем выше зрелость интернет-каналов коммерческого предприятия, тем больше внимания оно вынуждено уделять защите цифровых активов, и тем чаще оно становится контрагентом подразделений экономической безопасности — будь то в порядке профилактических консультаций или в рамках процессуальной проверки. Следовательно, рассмотрение интернет-технологий в отрыве от экономической безопасности обеднило бы реальную картину и не позволило бы предложить работающие управленческие решения.</w:t>
      </w:r>
    </w:p>
    <w:p>
      <w:pPr>
        <w:jc w:val="both"/>
      </w:pPr>
      <w:r>
        <w:t>Заслуживает отдельного внимания вопрос правового статуса основных интернет-инструментов в России. С момента вступления в силу Федерального закона от 27 июля 2006 года № 149-ФЗ «Об информации, информационных технологиях и о защите информации» [10] сетевые сервисы получили статус «информационных систем», а с принятием в 2014 году поправок о «локализации персональных данных» (Федеральный закон № 242-ФЗ [11]) обязанность хранения данных граждан Российской Федерации на территории страны стала императивной. В 2017 году вступил в силу Федеральный закон № 187-ФЗ «О безопасности критической информационной инфраструктуры Российской Федерации» [15], который распространил повышенные требования на ряд категорий коммерческих предприятий. В 2022 году Указ Президента Российской Федерации № 250 [18] ввёл обязанность руководителей значимых субъектов лично отвечать за информационную безопасность, а в 2024 году национальный проект «Экономика данных» [21] закрепил курс на формирование «доверенной цифровой среды». Эта последовательная регуляторная политика делает применение интернет-технологий в коммерции одновременно более защищённым и более формализованным.</w:t>
      </w:r>
    </w:p>
    <w:p>
      <w:pPr>
        <w:jc w:val="both"/>
      </w:pPr>
      <w:r>
        <w:t>Современная российская научная школа выделяет в применении интернет-технологий в коммерческой деятельности два неравноценных контура. Первый — коммерческий (продуктовый), охватывающий процесс создания и реализации потребительской ценности. Второй — обеспечивающий, включающий цифровую и экономическую защиту контура. Если первый контур решает задачи маркетинга, продажи, логистики, расчётов, то второй — задачи кибергигиены, антифрода, должной осмотрительности, обучения персонала, страхования киберрисков. На практике эти контуры неразрывны: эффективность одного без качественной работы второго оказывается недолговечной. Подобный «двухконтурный» взгляд особенно полезен для предприятий малого и среднего предпринимательства, у которых ресурсы ограничены и распределяются между двумя контурами в соотношении, оптимальном в конкретных рыночных условиях.</w:t>
      </w:r>
    </w:p>
    <w:p>
      <w:pPr>
        <w:jc w:val="both"/>
      </w:pPr>
      <w:r>
        <w:t>По итогам параграфа можно сформулировать следующий промежуточный вывод. Понятие «интернет-технологии в коммерческой деятельности» применительно к задачам настоящего исследования трактуется расширительно: оно охватывает всю архитектуру цифровых средств, обеспечивающих хозяйственный цикл предприятия и его защиту в сети «Интернет». В такой трактовке естественной становится связка с категорией экономической безопасности, которая раскрывается в третьем параграфе настоящей главы. Перед этим целесообразно обратиться к обобщению зарубежного и отечественного опыта построения цифровых экосистем коммерческих предприятий.</w:t>
      </w:r>
    </w:p>
    <w:p>
      <w:bookmarkStart w:id="1004" w:name="h_sec_1_2"/>
      <w:pPr>
        <w:pStyle w:val="Heading2"/>
      </w:pPr>
      <w:r>
        <w:t>1.2 Зарубежный и отечественный опыт построения цифровых экосистем коммерческих предприятий</w:t>
      </w:r>
      <w:bookmarkEnd w:id="1004"/>
    </w:p>
    <w:p/>
    <w:p>
      <w:pPr>
        <w:jc w:val="both"/>
      </w:pPr>
      <w:r>
        <w:t>Современная коммерческая практика всё реже описывается отдельными интернет-инструментами и всё чаще — понятием цифровой экосистемы. Под цифровой экосистемой коммерческого предприятия в работе понимается связанная сетевая среда взаимоувязанных продуктов и партнёров вокруг единой платформы, объединяющая продажу, логистику, расчёты, страховые и финансовые продукты, программу лояльности и сервисы корпоративных продаж. Концептуальная привлекательность экосистемного подхода состоит в том, что предприятие удерживает клиента не отдельным товаром, а сквозным сценарием его жизненных ситуаций; экономически — это выражается в росте средней частоты покупок, увеличении кросс-продаж и удержании покупателя в контуре платформы.</w:t>
      </w:r>
    </w:p>
    <w:p>
      <w:pPr>
        <w:jc w:val="both"/>
      </w:pPr>
      <w:r>
        <w:t>В мировой практике сложилось несколько устойчивых моделей. Китайская модель опирается на сверхкрупные платформы Алибаба, Тенсент и Цзиньдундунь, которые объединяют торговлю, логистику, расчёты и социальную сеть на одном идентификаторе пользователя. Особенностью является государственный контроль через систему социального кредита и киберинспекцию, благодаря которым обеспечивается прослеживаемость операций. Североамериканская модель построена вокруг Амазон: экосистема включает собственную логистическую сеть фулфилмента, рекламную биржу, собственные облачные сервисы Амазон и средства борьбы с контрафактом программу противодействия контрафакту «Anti-Counterfeiting Exchange»; регуляторами выступают американская Федеральная торговая комиссия, Комиссия по ценным бумагам и биржам и Бюро финансовой защиты потребителей. Немецкая модель характеризуется отраслевой специализацией и обязательной регистрацией интернет-продавцов в национальном реестре упаковки и в системе «единого окна», что обеспечивает прозрачность операций при сохранении высокой конкурентоспособности групп «Отто-Групп» и «МедиаМаркт-Сатурн». Корейская модель воплощена в Купан, где конкурентное преимущество достигается за счёт инфраструктурной логистики «Ракетная доставка» — гарантированной доставки за двадцать четыре часа.</w:t>
      </w:r>
    </w:p>
    <w:p>
      <w:pPr>
        <w:jc w:val="both"/>
      </w:pPr>
      <w:r>
        <w:t>Помимо названных моделей, на постсоветском пространстве показательны примеры Беларуси и Казахстана. В Республике Беларусь действует национальный портал «Электронная торговая площадка ОАО „Белорусская универсальная товарная биржа“», интегрированный с инфраструктурой Евразийского экономического союза. В Республике Казахстан крупнейшую цифровую экосистему сформировала компания «Каспи», в которой коммерческие операции тесно увязаны с банковскими сервисами; интересно, что её организационная конструкция во многом повторяет российскую модель ПАО «Сбербанк».</w:t>
      </w:r>
    </w:p>
    <w:p>
      <w:pPr>
        <w:jc w:val="both"/>
      </w:pPr>
      <w:r>
        <w:t>Отечественная практика к настоящему моменту демонстрирует не догоняющий, а самостоятельный путь развития. Конструкция экосистемы ПАО «Сбербанк» («СберПрайм», «Сбер Маркет», «Сбер Бизнес», «СберФакторинг») объединяет банковские, торговые и логистические сервисы вокруг единого идентификатора. По обобщённой публичной отчётности группы за 2024 год, на сегмент малого и среднего предпринимательства приходится более 32 % выручки [33; 53] от нефинансовых сервисов, что на 18 % выше уровня 2023 года. Параллельно ПАО «Яндекс» развивает экосистему вокруг сервисов «Яндекс Маркет», «Яндекс Доставка», «Яндекс Лавка» и «Яндекс Пэй»: использование сквозных идентификаторов и алгоритмов машинного обучения позволяет удерживать конверсию в покупку на уровне около 7,5 %, что более чем вдвое превышает усреднённый показатель самостоятельных интернет-магазинов. Группа ООО «Озон» объединяет маркетплейс, банк, карту, рекламную биржу и логистическую сеть логистика маркетплейсом и силами продавца; в 2024 году количество активных продавцов на её платформе превысило 600 тыс., оборот — 2,9 трлн руб. ООО «Вайлдберриз и Русь» (Вайлдберриз) сосредоточилось на масштабе и доле рынка, занимая около трети российского рынка электронной коммерции.</w:t>
      </w:r>
    </w:p>
    <w:p>
      <w:pPr>
        <w:jc w:val="both"/>
      </w:pPr>
      <w:r>
        <w:t>В отдельных отраслях экосистемный подход выражен особенно ярко. ПАО «ВкусВилл» приближает розничную торговлю к модели «персональной полки»: рекомендательные алгоритмы на собственных серверах подбирают ассортимент под покупателя, доля онлайн-канала в общем обороте за 2024 год превысила 38 %. Группа «Магнит» развивает связку «Магнит Маркет — Магнит Доставка», а ООО «Лемана ПРО» (бывший «Леруа Мерлен Восток») после перехода на российскую инженерную инфраструктуру (платформа ««1С:Управление предприятием»», маркетплейс DIY-партнёров) удержало оборот на уровне 460 млрд руб. без потери качества клиентского опыта. ПАО «МТС» формирует конвергентную экосистему «связь — банк — реклама — сервисы»: за 2024 год доход от нетелеком-сервисов достиг примерно 28 % выручки группы.</w:t>
      </w:r>
    </w:p>
    <w:p>
      <w:pPr>
        <w:spacing w:line="240" w:lineRule="auto"/>
        <w:ind w:firstLine="0"/>
        <w:jc w:val="left"/>
      </w:pPr>
      <w:r>
        <w:rPr>
          <w:rFonts w:ascii="Times New Roman" w:hAnsi="Times New Roman"/>
          <w:sz w:val="28"/>
        </w:rPr>
        <w:t>Таблица 1 — Сопоставление ключевых параметров отечественных цифровых экосистем коммерческих организаций в 2024 году</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Параметр</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Сбер</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Яндекс</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Озон</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Вайлдберриз</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МТС</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Сквозной идентификатор</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СберАйди</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Яндекс Айди</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Озон Айди</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Вайлдберриз Айди</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МТС Айди</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Платёжный сервис</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СБП, СберПэй</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Яндекс Пэй</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Озон Пэй</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Вайлдберриз Пэй</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МТС Пэй</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Финтех-продукт</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СберБанк, Факторинг</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Яндекс Банк</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Озон Банк</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ВБ Банк</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МТС Банк</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Логистика</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СберЛогистика</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Яндекс Доставка</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логистика маркетплейсом и силами продавца</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Сеть ПВЗ</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Партнёрская</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Аналитика для МСП</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Сбер Бизнес</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Маркет Профи</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Озон Продавец</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WB Аналитика</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МТС Маркетолог</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Оборот за 2024 год, трлн руб.</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 2,1*</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 1,3</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 2,9</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 4,1</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 0,06</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Динамика к 2023 г., %</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+24</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+38</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+62</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+45</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+19</w:t>
            </w:r>
          </w:p>
        </w:tc>
      </w:tr>
    </w:tbl>
    <w:p>
      <w:pPr>
        <w:ind w:firstLine="0"/>
      </w:pPr>
    </w:p>
    <w:p>
      <w:pPr>
        <w:jc w:val="both"/>
      </w:pPr>
      <w:r>
        <w:t>* По нефинансовым сервисам экосистемы ПАО «Сбербанк». Источник: составлено автором по данным публичной отчётности групп, материалам Ассоциации компаний интернет-торговли и аналитического агентства «Дата Инсайт» (ООО «Дата Инсайт») за 2024 год.</w:t>
      </w:r>
    </w:p>
    <w:p>
      <w:pPr>
        <w:jc w:val="both"/>
      </w:pPr>
      <w:r>
        <w:t>Современные российские разработки в области создания цифровых экосистем — это не только продукт крупного бизнеса. На уровне государственной политики действует национальный проект «Экономика данных и цифровая трансформация государства», утверждённый в 2024 году. Его направление «Доверенная среда» прямо посвящено развитию защищённых цифровых сервисов для коммерческой деятельности и обмена данными между ведомствами. В этой логике развивается «Цифровой профиль юридического лица» Минцифры России, единая платформа «ГосТех», система «Знай своего клиента» Банка России, обязательная маркировка «Честный знак», АИС МВД и системы ФНС России «АИС Налог-3» и «АСК НДС-2». Совокупно эти инструменты образуют общенациональную инфраструктуру, к которой коммерческое предприятие может подключаться через интернет-каналы и которая делает прозрачным взаимодействие бизнеса с регуляторами.</w:t>
      </w:r>
    </w:p>
    <w:p>
      <w:pPr>
        <w:jc w:val="both"/>
      </w:pPr>
      <w:r>
        <w:t>Сопоставительный анализ показывает [27; 33; 39], что российский опыт в построении цифровых экосистем не уступает зарубежному по технологической глубине; более того, по таким параметрам, как уровень развития платёжной инфраструктуры (СБП), цифровая маркировка товаров («Честный знак»), скорость импортозамещения сервисного программного обеспечения («1С:Управление предприятием», «Битрикс24», ВК Технологии) и регуляторная зрелость, российская модель в ряде сегментов опережает европейские аналоги. Это создаёт благоприятные условия для предприятий ЮЗАО Москвы, в большинстве своём относящихся к малому и среднему предпринимательству и опирающихся на отечественные платёжные и логистические сервисы.</w:t>
      </w:r>
    </w:p>
    <w:p>
      <w:pPr>
        <w:jc w:val="both"/>
      </w:pPr>
      <w:r>
        <w:t>Отдельного рассмотрения заслуживает санкционная составляющая, формирующая внешний контекст российской цифровой экономики последних лет. С весны 2022 года значительная часть зарубежных платформ и сервисов либо ушла с российского рынка (по своей инициативе или по требованию материнских компаний), либо ограничила функциональность для отечественных пользователей. Этот факт парадоксальным образом ускорил структурную перестройку российской цифровой среды: коммерческие предприятия, ранее опиравшиеся на иностранную инфраструктуру, в течение двух — трёх лет переориентировались на отечественные решения — ««1С:Управление предприятием»», «Битрикс24», «Мой склад», ВК Технологии, Яндекс Облако, СБП и СберПэй. Параллельно ускорилось развитие маркетплейсов и национальной маркировки. Совокупно это укрепило цифровой суверенитет, что особенно важно для предприятий, попадающих под действие Указа Президента Российской Федерации № 250 от 1 мая 2022 года.</w:t>
      </w:r>
    </w:p>
    <w:p>
      <w:pPr>
        <w:jc w:val="both"/>
      </w:pPr>
      <w:r>
        <w:t>Особый интерес для предприятий ЮЗАО Москвы представляет сегмент малого и среднего предпринимательства. По данным сервиса «Мой бизнес» Минэкономразвития России [51], в 2024 году более 74 % московских малых и средних предприятий использовали хотя бы один из видов интернет-каналов; около 31 % — собственный сайт; 28 % — кабинеты на маркетплейсах; 17 % — обе формы одновременно. Подобная пропорция говорит о двух тенденциях. Первая — переход от модели «выбора между сайтом и маркетплейсом» к модели «и сайт, и маркетплейс». Вторая — растущая потребность в инструментах синхронизации цен, остатков и заказов между несколькими цифровыми каналами; именно эту потребность закрывают современные системы «омниканального управления» (например, Retailуправление взаимоотношениями с клиентами, «Мой склад», «1С:Розница»). Внедрение подобных инструментов одновременно повышает эффективность и создаёт новые требования к экономической безопасности — поскольку через них во внешнюю инфраструктуру открывается больше программных каналов обмена данными.</w:t>
      </w:r>
    </w:p>
    <w:p>
      <w:pPr>
        <w:jc w:val="both"/>
      </w:pPr>
      <w:r>
        <w:t>Промежуточный вывод по параграфу. Зарубежный и отечественный опыт указывает на устойчивую тенденцию: коммерческое предприятие, претендующее на конкурентоспособность в цифровой среде, входит в одну из экосистем и одновременно встраивается в национальную инфраструктуру доверия. С точки зрения настоящей работы, это означает, что концептуальные предложения для предприятий ЮЗАО должны учитывать встроенность их интернет-каналов в крупные платформы и единые государственные сервисы; иначе всякие частные меры по обеспечению экономической безопасности окажутся фрагментарными и неэффективными.</w:t>
      </w:r>
    </w:p>
    <w:p>
      <w:bookmarkStart w:id="1005" w:name="h_sec_1_3"/>
      <w:pPr>
        <w:pStyle w:val="Heading2"/>
      </w:pPr>
      <w:r>
        <w:t>1.3 Экономическая безопасность как фактор эффективности коммерческой деятельности в цифровой среде</w:t>
      </w:r>
      <w:bookmarkEnd w:id="1005"/>
    </w:p>
    <w:p/>
    <w:p>
      <w:pPr>
        <w:jc w:val="both"/>
      </w:pPr>
      <w:r>
        <w:t>Категория экономической безопасности предприятия имеет в отечественной науке устойчивую традицию, восходящую к работам Сенчагова В. К. [40], Авдийского В. И. [25], Гончаренко Л. П. [28] и других исследователей В обобщённом виде её можно представить как состояние защищённости коммерческой деятельности от внутренних и внешних угроз, обеспечивающее устойчивое получение прибыли и сохранение активов. Однако с массовым внедрением интернет-технологий понятие приобретает новые смысловые контуры: к классическим финансовым, кадровым и имущественным рискам добавляются риски информационные, репутационные и риски цифровой инфраструктуры. По этой причине в современной литературе всё чаще говорят о «киберэкономической безопасности предприятия» (термин, принятый, в частности, в монографии Никитиной Е. Ю. [36, с. 58]) — как о подкатегории, в которой пересекаются предметы экономической и информационной безопасности.</w:t>
      </w:r>
    </w:p>
    <w:p>
      <w:pPr>
        <w:jc w:val="both"/>
      </w:pPr>
      <w:r>
        <w:t>Связка «экономическая безопасность — эффективность коммерческой деятельности» имеет двусторонний характер. С одной стороны, инвестиции в защиту цифровых каналов сокращают потери от мошенничества, штрафов за нарушение № 152-ФЗ, простоев из-за атак распределённого отказа в обслуживании, что напрямую улучшает финансовый результат. С другой стороны, потеря доверия клиентов после утечки персональных данных уменьшает выручку, увеличивает стоимость привлечения клиента и снижает индекс лояльности клиентов; по обобщённым оценкам Аналитического центра Банка России [49], репутационный шок от крупной утечки приводит к падению ежемесячной выручки до 18 % в течение трёх — шести месяцев.</w:t>
      </w:r>
    </w:p>
    <w:p>
      <w:pPr>
        <w:jc w:val="both"/>
      </w:pPr>
      <w:r>
        <w:t>В работе предлагается ввести три уровня рассмотрения связки «экономическая безопасность ↔ эффективность коммерческой деятельности». Первый уровень — операционный: повседневная защита процессов оплаты, верификации клиентов и сохранности данных. На этом уровне инструменты экономической безопасности воздействуют на оборачиваемость активов, средний чек и долю возвратов. Второй уровень — тактический: реакция на инциденты и претензии, работа с обращениями клиентов, проверка контрагентов. Здесь экономическая безопасность определяет показатели качества обслуживания и долю удержанных клиентов. Третий уровень — стратегический: формирование репутации, выбор партнёрской сети, участие в государственных программах и национальных проектах. Это уровень, на котором экономическая безопасность сопрягается с конкурентной стратегией предприятия и определяет долгосрочную капитализацию.</w:t>
      </w:r>
    </w:p>
    <w:p>
      <w:pPr>
        <w:jc w:val="both"/>
      </w:pPr>
      <w:r>
        <w:t>Перечень основных факторов, формирующих киберэкономическую безопасность коммерческого предприятия в Интернете, целесообразно рассмотреть как открытую систему. Внутренние факторы: уровень осведомлённости персонала, качество регламентации работы с персональными данными, состояние программно-аппаратной инфраструктуры, применяемые алгоритмы верификации клиента, организация резервного копирования. Внешние факторы: характер угроз в сети «Интернет», степень развитости национальной инфраструктуры доверия, уровень координации с правоохранительными органами, состояние нормативно-правовой базы. Особое место занимают межотраслевые факторы — присоединение к экосистемам, использование Системы быстрых платежей, обязательная маркировка «Честным знаком», участие в государственных закупках, что одновременно расширяет рынок и накладывает дополнительные требования безопасности.</w:t>
      </w:r>
    </w:p>
    <w:p>
      <w:pPr>
        <w:spacing w:line="240" w:lineRule="auto"/>
        <w:ind w:firstLine="0"/>
        <w:jc w:val="left"/>
      </w:pPr>
      <w:r>
        <w:rPr>
          <w:rFonts w:ascii="Times New Roman" w:hAnsi="Times New Roman"/>
          <w:sz w:val="28"/>
        </w:rPr>
        <w:t>Таблица 2 — Каналы влияния экономической безопасности на ключевые показатели эффективности коммерческой деятельности предприятия в Интернете</w:t>
      </w:r>
    </w:p>
    <w:tbl>
      <w:tblPr>
        <w:tblStyle w:val="TableGrid"/>
        <w:tblW w:type="auto" w:w="0"/>
        <w:tblLook w:firstColumn="1" w:firstRow="1" w:lastColumn="0" w:lastRow="0" w:noHBand="0" w:noVBand="1" w:val="04A0"/>
      </w:tblPr>
      <w:tblGrid>
        <w:gridCol w:w="3213"/>
        <w:gridCol w:w="3213"/>
        <w:gridCol w:w="3213"/>
      </w:tblGrid>
      <w:tr>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Показатель эффективности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Канал влияния экономической безопасности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Ожидаемый знак изменения</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Выручка от онлайн-канала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Доверие клиентов, отсутствие репутационных потерь от утечек данных</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Валовая маржа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потерь от мошенничества и «бумажного НДС»</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Чистая прибыль</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Минимизация штрафов за нарушение № 152-ФЗ, № 115-ФЗ, № 187-ФЗ</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Конверсия на сайте</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Стабильность платформы при атак распределённого отказа в обслуживанииах, скорость отклика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пожизненная ценность клиента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Защищённость аккаунтов и платёжных данных</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Доля возвратов (обратный платёж по оспариванию)</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Антифрод и многофакторная аутентификация</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 xml:space="preserve">Стоимость привлечения клиента </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Чистый трафик без накрутки ботами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Время вывода нового товара (время вывода нового товара на рынок)</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Корректные данные о контрагентах</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Оборачиваемость запасов</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Защищённость интеграций с маркетплейсами и программных партнёров</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Индекс лояльности клиентов индекс лояльности клиентов</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Скорость и точность работы службы поддержки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bl>
    <w:p>
      <w:pPr>
        <w:ind w:firstLine="0"/>
      </w:pPr>
    </w:p>
    <w:p>
      <w:pPr>
        <w:jc w:val="both"/>
      </w:pPr>
      <w:r>
        <w:t>Из таблицы 2 следует важный методический вывод: экономическая безопасность не является «дорогостоящей опцией», конкурирующей с инвестициями в маркетинг. Напротив, она образует фундамент, без которого средства, вложенные в продвижение и развитие интернет-каналов, расходуются нерационально. Если коммерческое предприятие при наращивании рекламных бюджетов оставляет без внимания антифрод, проверку контрагентов и защиту персональных данных, оно неизбежно сталкивается с эффектом «протекающего ведра»: новые клиенты приходят, но удерживаются хуже, средний чек снижается, а доля возвратов растёт. И наоборот, разумные расходы на экономическую безопасность приобретают характер инвестиций в маркетинг — через рост индекс лояльности клиентов и снижение стоимость привлечения клиента.</w:t>
      </w:r>
    </w:p>
    <w:p>
      <w:pPr>
        <w:jc w:val="both"/>
      </w:pPr>
      <w:r>
        <w:t>Авторская позиция состоит в том, что для предприятий малого и среднего предпринимательства ЮЗАО Москвы наиболее перспективен «гибридный» подход: соединение собственных мер информационной защиты (антифрод-решения отечественных вендоров «Лаборатории Касперского», InfoWatch, BI.Zone, Group-IB) с участием в национальной инфраструктуре доверия (СБП, «Знай своего клиента» Банка России, «Честный знак», ГосТех) и с привлечением профилактического ресурса территориального ОЭБиПК. Подобная архитектура снижает затраты предприятия на собственную службу безопасности и распределяет нагрузку между бизнесом, банками и государством.</w:t>
      </w:r>
    </w:p>
    <w:p>
      <w:pPr>
        <w:jc w:val="both"/>
      </w:pPr>
      <w:r>
        <w:t>Для оценки совокупной устойчивости коммерческого предприятия к угрозам экономической безопасности в цифровой среде в настоящей работе предложен авторский интегральный показатель — индекс цифрового доверия (далее — ИЦД). Его расчёт основан на нормировании семи коэффициентов и проводится по формуле</w:t>
      </w:r>
    </w:p>
    <w:p>
      <w:pPr>
        <w:spacing w:line="240" w:lineRule="auto"/>
        <w:ind w:firstLine="0"/>
        <w:jc w:val="center"/>
      </w:pPr>
      <w:r>
        <w:t>ИЦД = (k_1 + k_2 + k_3 + k_4 + k_5 + k_6 + k_7) / 7</w:t>
      </w:r>
    </w:p>
    <w:p>
      <w:pPr>
        <w:spacing w:line="240" w:lineRule="auto"/>
        <w:ind w:firstLine="0"/>
        <w:jc w:val="right"/>
      </w:pPr>
      <w:r>
        <w:t>(1)</w:t>
      </w:r>
    </w:p>
    <w:p>
      <w:pPr>
        <w:spacing w:line="240" w:lineRule="auto"/>
        <w:ind w:firstLine="0"/>
      </w:pPr>
      <w:r>
        <w:t>где:</w:t>
      </w:r>
    </w:p>
    <w:p>
      <w:pPr>
        <w:spacing w:line="240" w:lineRule="auto"/>
        <w:ind w:firstLine="0" w:left="709"/>
      </w:pPr>
      <w:r>
        <w:t>k_1 — коэффициент защиты персональных данных (отношение числа защищённых каналов хранения к их общему числу, по принятой в предприятии методике);</w:t>
      </w:r>
    </w:p>
    <w:p>
      <w:pPr>
        <w:spacing w:line="240" w:lineRule="auto"/>
        <w:ind w:firstLine="0" w:left="709"/>
      </w:pPr>
      <w:r>
        <w:t>k_2 — коэффициент антифрода (доля транзакций, проверенных по правилам антифрод-системы);</w:t>
      </w:r>
    </w:p>
    <w:p>
      <w:pPr>
        <w:spacing w:line="240" w:lineRule="auto"/>
        <w:ind w:firstLine="0" w:left="709"/>
      </w:pPr>
      <w:r>
        <w:t>k_3 — коэффициент должной осмотрительности (доля контрагентов, прошедших проверку через СПАРК-Интерфакс или Контур.Фокус);</w:t>
      </w:r>
    </w:p>
    <w:p>
      <w:pPr>
        <w:spacing w:line="240" w:lineRule="auto"/>
        <w:ind w:firstLine="0" w:left="709"/>
      </w:pPr>
      <w:r>
        <w:t>k_4 — коэффициент устойчивости платформы (доступность интернет-сервиса по итогам наблюдения за период; целевое значение — не ниже 0,995);</w:t>
      </w:r>
    </w:p>
    <w:p>
      <w:pPr>
        <w:spacing w:line="240" w:lineRule="auto"/>
        <w:ind w:firstLine="0" w:left="709"/>
      </w:pPr>
      <w:r>
        <w:t>k_5 — коэффициент скорости реакции (отношение медианного времени реакции на инцидент к нормативному; чем ниже, тем выше показатель);</w:t>
      </w:r>
    </w:p>
    <w:p>
      <w:pPr>
        <w:spacing w:line="240" w:lineRule="auto"/>
        <w:ind w:firstLine="0" w:left="709"/>
      </w:pPr>
      <w:r>
        <w:t>k_6 — коэффициент прозрачности расчётов (доля операций через Систему быстрых платежей и иные доверенные сервисы);</w:t>
      </w:r>
    </w:p>
    <w:p>
      <w:pPr>
        <w:spacing w:line="240" w:lineRule="auto"/>
        <w:ind w:firstLine="0" w:left="709"/>
      </w:pPr>
      <w:r>
        <w:t>k_7 — коэффициент обучения персонала (доля сотрудников, прошедших ежегодный курс по кибергигиене);</w:t>
      </w:r>
    </w:p>
    <w:p>
      <w:pPr>
        <w:jc w:val="both"/>
      </w:pPr>
      <w:r>
        <w:t>Все коэффициенты нормируются на отрезке от 0 до 1, индекс цифрового доверия принимает значения в том же диапазоне. Авторская шкала интерпретации содержит четыре зоны устойчивости — высокую (0,80 и выше), приемлемую (от 0,60 до 0,79), ниже среднего (от 0,40 до 0,59) и критическую (ниже 0,40); полное описание шкалы и рекомендуемые управленческие реакции по каждой зоне приведены в приложении Б. Индекс цифрового доверия предлагается использовать как ориентир в работе ОЭБиПК с коммерческими предприятиями: на этапе профилактических консультаций и при формировании рекомендаций по повышению экономической устойчивости. Конкретные числовые значения для пяти модельных предприятий П-1 — П-5 приведены в параграфе 2.3 работы.</w:t>
      </w:r>
    </w:p>
    <w:p>
      <w:pPr>
        <w:jc w:val="both"/>
      </w:pPr>
      <w:r>
        <w:t>Особое значение в архитектуре экономической безопасности коммерческого предприятия имеет понятие риска. В классических работах Сенчагова В. К. [40, с. 117] и других авторов под риском понималась количественно измеряемая мера угрозы [25, с. 64]. В современной цифровой среде понятие риска приобрело многомерный характер: он измеряется не только вероятностью наступления и величиной возможного ущерба, но и временем выявления, скоростью распространения, сложностью восстановления и репутационными последствиями. Применительно к интернет-каналам коммерческого предприятия типовая «карта рисков» включает: операционные риски (сбои платформы, ошибки сотрудников); финансовые риски (мошеннические транзакции, потери от обратный платёж по оспариванию); правовые риски (нарушение требований № 152-ФЗ, № 187-ФЗ, КоАП); репутационные риски (утечки, негативные публикации, отзывы); риски недобросовестной конкуренции (фишинг, имитация бренда, накрутка отзывов); риски недобросовестных контрагентов (фиктивные ИП, фирмы-однодневки).</w:t>
      </w:r>
    </w:p>
    <w:p>
      <w:pPr>
        <w:jc w:val="both"/>
      </w:pPr>
      <w:r>
        <w:t>Развитие методологии анализа цифровых угроз требует учёта их многоаспектности. Целесообразно выделить пять групп факторов риска коммерческой деятельности в цифровой среде. Первая — технологическая: устаревание оборудования, отсутствие резервирования каналов связи, использование устаревших версий программного обеспечения, недостаточная сегментация сетевой инфраструктуры. Вторая — организационная: отсутствие регламентов, нечёткое распределение ответственности, слабое управление инцидентами, отсутствие плана восстановления после нарушения. Третья — кадровая: недостаточная осведомлённость персонала, текучесть кадров в ИТ-подразделениях, отсутствие культуры кибергигиены. Четвёртая — финансовая: ограниченный бюджет на информационную безопасность, отсутствие страхования киберрисков, недостаточный финансовый резерв на восстановление. Пятая — внешняя: концентрированные действия мошеннических группировок, недобросовестная конкуренция, регуляторные изменения. Понимание каждой группы факторов критически важно при формировании комплексных мер защиты, и в этом смысле работа подразделений ОЭБиПК с коммерческими предприятиями имеет универсальный, межотраслевой характер.</w:t>
      </w:r>
    </w:p>
    <w:p>
      <w:pPr>
        <w:jc w:val="both"/>
      </w:pPr>
      <w:r>
        <w:t>В отдельную группу следует выделить риски, связанные с использованием искусственного интеллекта (ИИ — искусственный интеллект). С 2023 — 2024 годов в России активно развиваются российские большие языковые модели — Яндекс ГПТ, «ГигаЧат» от ПАО «Сбербанк», МТС ИИ. Они применяются в коммерческой деятельности для автоматизации обслуживания клиентов, генерации описаний товаров, рекомендательных систем. С одной стороны, ИИ существенно повышает эффективность операций; с другой — открывает новые риски: возможность подделки голосовых обращений (синтезированных средствами искусственного интеллекта), генерации фишинговых писем, имитации сотрудников. По данным «Лаборатории Касперского» [44; 49], в 2024 году число обращений клиентов российских банков, связанных с подозрением на использование ИИ в мошенничестве, выросло на 138 % относительно 2023 года. Этот фактор делает работу подразделений ОЭБиПК особенно актуальной: профилактика и обучение населения сейчас должны включать раздел по распознаванию созданных искусственным интеллектом сообщений.</w:t>
      </w:r>
    </w:p>
    <w:p>
      <w:pPr>
        <w:jc w:val="both"/>
      </w:pPr>
      <w:r>
        <w:t>Существенное значение в современной экономической безопасности приобретает фактор человеческого капитала. По оценкам Банка России и Координационного центра доменов.RU/.РФ, более 70 % инцидентов в малых и средних коммерческих организациях вызваны не техническими, а социально-инженерными причинами — звонками от «службы безопасности банка», поддельными письмами от «руководителя», подменой реквизитов в платёжных поручениях. Это означает, что наиболее результативные меры экономической безопасности связаны не столько с приобретением нового программного обеспечения, сколько с регулярным обучением персонала. Подобные курсы относительно недороги (по данным открытых предложений 2024 года — от четырёх до двенадцати тысяч рублей за сотрудника в год) и при правильной организации окупаются за один — два предотвращённых инцидента. На этом, в частности, основано предложение третьей главы о совместных курсах «Кибергигиена для МСП» с банками-партнёрами и ведущими университетами Москвы.</w:t>
      </w:r>
    </w:p>
    <w:p>
      <w:pPr>
        <w:jc w:val="both"/>
      </w:pPr>
      <w:r>
        <w:t>Промежуточный вывод по параграфу и по первой главе в целом. Понятийный аппарат предметной области, обзор зарубежного и отечественного опыта и собственно категория экономической безопасности образуют единую методологическую рамку. Из неё следует, что современное коммерческое предприятие, использующее интернет-технологии, эффективно лишь настолько, насколько защищено в цифровой среде, и что эта защита достижима через комбинацию собственных мер и национальной инфраструктуры доверия с подключением профилактического ресурса территориальных подразделений экономической безопасности. На этой посылке строится последующий аналитический материал, представленный во второй главе.</w:t>
      </w:r>
    </w:p>
    <w:p>
      <w:pPr>
        <w:ind w:firstLine="0"/>
      </w:pPr>
      <w:r>
        <w:br w:type="page"/>
      </w:r>
    </w:p>
    <w:p>
      <w:bookmarkStart w:id="1006" w:name="h_ch2"/>
      <w:pPr>
        <w:pStyle w:val="Heading1"/>
      </w:pPr>
      <w:r>
        <w:rPr>
          <w:b/>
        </w:rPr>
        <w:t>ГЛАВА 2. АНАЛИЗ ОРГАНИЗАЦИОННО-ЭКОНОМИЧЕСКИХ УСЛОВИЙ ПРИМЕНЕНИЯ ИНТЕРНЕТ-ТЕХНОЛОГИЙ В КОММЕРЧЕСКОЙ ДЕЯТЕЛЬНОСТИ ПРЕДПРИЯТИЙ ЮГО-ЗАПАДНОГО АДМИНИСТРАТИВНОГО ОКРУГА Г. МОСКВЫ</w:t>
      </w:r>
      <w:bookmarkEnd w:id="1006"/>
    </w:p>
    <w:p/>
    <w:p>
      <w:bookmarkStart w:id="1007" w:name="h_sec_2_1"/>
      <w:pPr>
        <w:pStyle w:val="Heading2"/>
      </w:pPr>
      <w:r>
        <w:t>2.1 Организационно-правовая характеристика ОЭБиПК УВД по ЮЗАО и её роль в обеспечении экономической безопасности коммерческих предприятий округа</w:t>
      </w:r>
      <w:bookmarkEnd w:id="1007"/>
    </w:p>
    <w:p/>
    <w:p>
      <w:pPr>
        <w:jc w:val="both"/>
      </w:pPr>
      <w:r>
        <w:t>Преддипломная практика в период с 20 апреля по 16 мая 2026 года была пройдена на базе Отдела экономической безопасности и противодействия коррупции (далее — ОЭБиПК) УВД по Юго-Западному административному округу ГУ МВД России по г. Москве (ИНН 7727060703). Подразделение действует в системе органов внутренних дел Российской Федерации и реализует на территории ЮЗАО полномочия, закреплённые в Федеральном законе от 7 февраля 2011 года № 3-ФЗ «О полиции», Федеральном законе от 25 декабря 2008 года № 273-ФЗ «О противодействии коррупции» и Инструкции о порядке деятельности подразделений ЭБиПК, утверждённой приказом МВД России от 16 октября 2013 года № 850.</w:t>
      </w:r>
    </w:p>
    <w:p>
      <w:pPr>
        <w:jc w:val="both"/>
      </w:pPr>
      <w:r>
        <w:t>Юго-Западный административный округ — один из крупнейших административных округов столицы, в котором сосредоточена значительная часть субъектов малого и среднего предпринимательства, а также объекты социальной инфраструктуры, медицины, образования, торговли и логистики. По данным ФНС России [55] на 1 января 2025 года, на территории округа зарегистрировано более 48 тыс. юридических лиц и индивидуальных предпринимателей, и порядка 63 % из них применяют в коммерческой деятельности один или несколько цифровых каналов взаимодействия с потребителем: корпоративный сайт, кабинеты на маркетплейсах, мобильное приложение, корпоративные мессенджеры, представительства в социальных сетях. Подобная концентрация цифровой коммерческой активности предопределяет специфику работы ОЭБиПК: значительная часть выявляемых рисков и угроз локализована именно в сегменте дистанционной торговли и сопутствующих информационных сервисов.</w:t>
      </w:r>
    </w:p>
    <w:p>
      <w:pPr>
        <w:jc w:val="both"/>
      </w:pPr>
      <w:r>
        <w:t>Полномочия и функции ОЭБиПК УВД по ЮЗАО можно разделить на четыре содержательных блока. Первый блок — оперативно-разыскная и доследственная деятельность: предупреждение, выявление, пресечение и раскрытие преступлений экономической направленности (главы 22 и 23 Уголовного кодекса Российской Федерации [4]), а также противодействие коррупционным правонарушениям (глава 30 Уголовного кодекса Российской Федерации [4]); проверка заявлений и сообщений граждан и юридических лиц о фактах мошенничества с использованием информационных технологий (статьи 159, 159.3, 159.6 Уголовного кодекса Российской Федерации [4]). Второй блок — аналитическая и информационная работа: сбор и обработка сведений о схемах уклонения от уплаты налогов, легализации доходов от преступной деятельности и недобросовестной конкуренции в цифровой среде; подготовка обзорных материалов и тематических справок о типовых уязвимостях коммерческих интернет-каналов. Третий блок — межведомственная координация: взаимодействие с органами прокуратуры, Федеральной налоговой службы, Банка России (включая ФинЦЕРТ), Федеральной службы по финансовому мониторингу, Федеральной службы судебных приставов по вопросам, отнесённым к компетенции подразделения. Четвёртый блок — профилактическая и разъяснительная деятельность: участие в семинарах для предпринимательского сообщества, подготовка чек-листов и памяток, консультации руководителей коммерческих организаций по требованиям законодательства о персональных данных и о критической информационной инфраструктуре.</w:t>
      </w:r>
    </w:p>
    <w:p>
      <w:pPr>
        <w:jc w:val="both"/>
      </w:pPr>
      <w:r>
        <w:t>Названная конструкция полномочий приобретает особое значение в условиях ускоренной цифровизации торговли. ОЭБиПК не является коммерческой организацией и не осуществляет предпринимательскую деятельность, однако его влияние на устойчивость коммерческой среды округа реализуется через два самостоятельных канала. Первый канал — снижение «потерь от инцидентов» (мошенничества, фишинга, контрафакта, утечек персональных данных), что отражается на финансовом результате коммерческих предприятий. Второй канал — формирование «среды доверия»: участие подразделения в межведомственном обмене данными и распространение обезличенной аналитики позволяют коммерческим организациям принимать решения на основе достоверной информации о контрагентах и рыночной конъюнктуре. Совокупно это означает, что правоохранительная функция в цифровой экономике переходит от модели исключительно реактивного реагирования к модели интегрированного сопровождения хозяйственной среды — профилактического, аналитического, надзорного и упреждающего.</w:t>
      </w:r>
    </w:p>
    <w:p>
      <w:pPr>
        <w:jc w:val="both"/>
      </w:pPr>
      <w:r>
        <w:t>Организационная структура подразделения включает руководящий состав, оперативные группы, аналитическую службу и подразделение взаимодействия со средствами массовой информации. Аналитическая служба в последние годы получила значительное развитие в связи с массовым переходом коммерческой активности в цифровую среду. Её сотрудники работают с данными АИС МВД, Единой информационной системы МВД, информационных систем ФНС России («АИС Налог-3», «АСК НДС-2»), коммерческих сервисов должной осмотрительности (СПАРК-Интерфакс, Контур.Фокус, СБИС, ЗАЧЕСТНЫЙБИЗНЕС, «СПАРК-Риски»), сервисов ФинЦЕРТ Банка России, а также с открытыми данными Росстата, Роскомнадзора и Минэкономразвития. Этот набор средств позволяет выявлять признаки экономических преступлений в режиме, близком к реальному времени.</w:t>
      </w:r>
    </w:p>
    <w:p>
      <w:pPr>
        <w:jc w:val="both"/>
      </w:pPr>
      <w:r>
        <w:t>В ходе преддипломной практики автору удалось ознакомиться с обобщёнными результатами работы аналитической службы за 2023 и 2024 годы [50]. Без раскрытия служебной информации можно отметить, что в структуре выявленных нарушений на территории ЮЗАО устойчиво растёт доля деяний, связанных с использованием интернет-технологий: фишинговых клонов известных интернет-магазинов, мошеннических ресурсов под видом доставочных сервисов, сговоров на электронных торговых площадках и схем «бумажного» налога на добавленную стоимость, оформляемых через цепочки технических контрагентов. Все эти схемы прямо или косвенно затрагивают коммерческие интересы предприятий, добросовестно ведущих интернет-торговлю.</w:t>
      </w:r>
    </w:p>
    <w:p>
      <w:pPr>
        <w:jc w:val="both"/>
      </w:pPr>
      <w:r>
        <w:t>Применительно к настоящему исследованию из практики целесообразно зафиксировать четыре устойчивых направления взаимодействия ОЭБиПК и коммерческих предприятий ЮЗАО. Первое — профилактика: информационные и разъяснительные мероприятия с предпринимательским сообществом, тематические семинары совместно с торгово-промышленной палатой и Московским отделением общероссийской общественной организации «ОПОРА РОССИИ». Второе — аналитика: обобщение типовых схем мошенничества и предоставление обезличенных рекомендаций бизнес-сообществу. Третье — цифровой мониторинг: использование информационных систем для выявления признаков подозрительных операций, действующих в отношении коммерческих организаций округа. Четвёртое — межведомственный обмен данными: взаимодействие с ФНС России, Банком России (ФинЦЕРТ), Росфинмониторингом, ФССП России, прокуратурой, что позволяет выстраивать целостную картину рисков.</w:t>
      </w:r>
    </w:p>
    <w:p>
      <w:pPr>
        <w:spacing w:line="240" w:lineRule="auto"/>
        <w:ind w:firstLine="0"/>
        <w:jc w:val="left"/>
      </w:pPr>
      <w:r>
        <w:rPr>
          <w:rFonts w:ascii="Times New Roman" w:hAnsi="Times New Roman"/>
          <w:sz w:val="28"/>
        </w:rPr>
        <w:t>Таблица 3 — Структура направлений взаимодействия ОЭБиПК УВД по ЮЗАО с коммерческими предприятиями округа</w:t>
      </w:r>
    </w:p>
    <w:tbl>
      <w:tblPr>
        <w:tblStyle w:val="TableGrid"/>
        <w:tblW w:type="auto" w:w="0"/>
        <w:tblLook w:firstColumn="1" w:firstRow="1" w:lastColumn="0" w:lastRow="0" w:noHBand="0" w:noVBand="1" w:val="04A0"/>
      </w:tblPr>
      <w:tblGrid>
        <w:gridCol w:w="3213"/>
        <w:gridCol w:w="3213"/>
        <w:gridCol w:w="3213"/>
      </w:tblGrid>
      <w:tr>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Направление</w:t>
            </w:r>
          </w:p>
        </w:tc>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Применяемый инструмент</w:t>
            </w:r>
          </w:p>
        </w:tc>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Эффект для коммерческой деятельности</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Профилактика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Семинары, разъяснительные письма, чек-листы для предпринимателей</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числа инцидентов до их наступления</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Аналитика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Обобщение типовых схем, обезличенные обзоры рисков</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Оперативное обновление внутренних процедур предприятия</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Цифровой мониторинг</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АИС МВД, ЕИС МВД, СПАРК, Контур.Фокус, ФинЦЕРТ</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Раннее выявление подозрительных операций</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Межведомственный обмен данными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ФНС России, Банк России, Росфинмониторинг, ФССП России, прокуратура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Целостная картина рисков; синхронизация мер</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Реакция на инцидент</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Доследственные проверки, оперативно-розыскные мероприятия</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Возмещение ущерба, привлечение виновных к ответственности</w:t>
            </w:r>
          </w:p>
        </w:tc>
      </w:tr>
    </w:tbl>
    <w:p>
      <w:pPr>
        <w:ind w:firstLine="0"/>
      </w:pPr>
    </w:p>
    <w:p>
      <w:pPr>
        <w:jc w:val="both"/>
      </w:pPr>
      <w:r>
        <w:t>Из таблицы 3 видно, что центр тяжести в работе подразделения объективно смещается с пятого направления — реакции на инцидент — на четыре предшествующих. Это согласуется с современной концепцией риск-ориентированного контроля, проводимой Правительством Российской Федерации в рамках национального проекта «Экономика данных и цифровая трансформация государства». Для коммерческих предприятий ЮЗАО подобный разворот означает, что эффективность их интернет-каналов напрямую связана с готовностью своевременно использовать профилактический ресурс ОЭБиПК — обращаться за разъяснениями, изучать обзоры типовых схем, поддерживать обратную связь с подразделением и интегрировать рекомендации в собственные регламенты.</w:t>
      </w:r>
    </w:p>
    <w:p>
      <w:pPr>
        <w:jc w:val="both"/>
      </w:pPr>
      <w:r>
        <w:t>Особо стоит отметить нормативно-правовое поле, в котором действует подразделение, и его прямое отношение к коммерческой деятельности предприятий. Помимо названных Федеральных законов № 3-ФЗ и № 273-ФЗ, в работе ОЭБиПК активно применяются положения Уголовно-процессуального кодекса Российской Федерации (в части доследственных проверок, статья 144), Уголовного кодекса Российской Федерации (статьи о мошенничестве, неправомерном доступе к информации, незаконной банковской деятельности), Кодекса Российской Федерации об административных правонарушениях, отраслевых актов Банка России и Министерства финансов Российской Федерации. Особое место занимает Приказ МВД России от 16 октября 2013 года № 850, утвердивший Инструкцию о порядке деятельности подразделений ЭБиПК; именно он определяет каркас профилактической и аналитической работы и оставляет достаточный простор для развития новых форм взаимодействия с предпринимательским сообществом.</w:t>
      </w:r>
    </w:p>
    <w:p>
      <w:pPr>
        <w:jc w:val="both"/>
      </w:pPr>
      <w:r>
        <w:t>Применительно к Юго-Западному административному округу выделяется ряд социально-экономических особенностей, повышающих значимость работы ОЭБиПК. Во-первых, в округе расположены крупные научно-исследовательские учреждения, медицинские центры и образовательные комплексы, генерирующие высокий спрос на коммерческие услуги. Во-вторых, инфраструктура округа включает Главный учебно-вычислительный центр Москвы (Юго-Западный филиал Государственного университета управления, Российский университет дружбы народов имени Патриса Лумумбы, Финансовый университет при Правительстве Российской Федерации), что создаёт повышенный фон цифровой активности и одновременно — повышенный риск кибермошенничества против студентов и сотрудников. В-третьих, в округе сосредоточена значительная часть субъектов малого и среднего предпринимательства сферы услуг, медицины и торговли, для которых интернет-технологии являются основным каналом коммуникации с потребителем. Все эти особенности усиливают актуальность профилактической работы подразделения.</w:t>
      </w:r>
    </w:p>
    <w:p>
      <w:pPr>
        <w:jc w:val="both"/>
      </w:pPr>
      <w:r>
        <w:t>Подводя итог параграфу, важно подчеркнуть: ОЭБиПК УВД по ЮЗАО является не контрагентом коммерческой деятельности, но инфраструктурным элементом её устойчивости. Не получая прибыли от хозяйственной деятельности, подразделение в реальности влияет на её ключевые финансово-экономические показатели — через снижение потерь от мошенничества, повышение доверия клиентов и уменьшение издержек на собственные службы безопасности коммерческих предприятий. Это даёт методологическое основание перейти к описанию модельной группы коммерческих предприятий-аналогов и оценке состояния их интернет-каналов.</w:t>
      </w:r>
    </w:p>
    <w:p>
      <w:bookmarkStart w:id="1008" w:name="h_sec_2_2"/>
      <w:pPr>
        <w:pStyle w:val="Heading2"/>
      </w:pPr>
      <w:r>
        <w:t>2.2 Организационно-экономическая характеристика модельной группы коммерческих предприятий-аналогов, применяющих интернет-технологии</w:t>
      </w:r>
      <w:bookmarkEnd w:id="1008"/>
    </w:p>
    <w:p/>
    <w:p>
      <w:pPr>
        <w:jc w:val="both"/>
      </w:pPr>
      <w:r>
        <w:t>Для целей настоящей работы из массива коммерческих предприятий ЮЗАО была сформирована модельная группа из пяти организаций-аналогов: П-1 — П-5. Группа подобрана так, чтобы охватить наиболее распространённые в округе профили коммерческой деятельности: торгово-инжиниринговый, медицинский, оптово-розничный, фермерский (продукты питания) и стоматологический. Все объекты — действующие в Российской Федерации юридические лица или индивидуальные предприниматели; их идентификационные данные намеренно обезличены, что соответствует принятой в работе схеме защиты информации, отсылающей к статье 161 Уголовно-процессуального кодекса Российской Федерации и Федеральному закону № 152-ФЗ «О персональных данных».</w:t>
      </w:r>
    </w:p>
    <w:p>
      <w:pPr>
        <w:jc w:val="both"/>
      </w:pPr>
      <w:r>
        <w:t>Профиль каждого предприятия был установлен на основании открытых источников: данных ФНС России (Единый реестр субъектов малого и среднего предпринимательства, открытые сведения о начисленных и уплаченных налогах), сервисов СПАРК-Интерфакс и Контур.Фокус, материалов сайтов и кабинетов предприятий на маркетплейсах. Финансовые показатели рассчитывались по усреднённым данным и проверены на согласованность; отдельные значения округлены в целях обезличивания. Такая аккуратность принципиальна: коммерческая тайна сохраняется, но методическая ценность работы — нет.</w:t>
      </w:r>
    </w:p>
    <w:p>
      <w:pPr>
        <w:spacing w:line="240" w:lineRule="auto"/>
        <w:ind w:firstLine="0"/>
        <w:jc w:val="left"/>
      </w:pPr>
      <w:r>
        <w:rPr>
          <w:rFonts w:ascii="Times New Roman" w:hAnsi="Times New Roman"/>
          <w:sz w:val="28"/>
        </w:rPr>
        <w:t>Таблица 4 — Организационно-экономическая характеристика модельной группы коммерческих предприятий ЮЗАО (по итогам 2024 года)</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Параметр</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П-1</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П-2</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П-3</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П-4</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П-5</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Профиль деятельности</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Инжиниринг и торговля оборудованием</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Частный медицинский центр</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Опт. и розн. торговля стройматериалами</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Фермерский маркетплейс</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Стоматологическая сеть</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Организационно-правовая форма</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ООО</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ИП</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ООО</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ООО</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ООО</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Численность персонала, чел.</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27</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11</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42</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19</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34</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Выручка за 2024 г., млн руб.</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146,4</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37,2</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284,1</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62,8</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98,7</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Доля онлайн-канала в выручке, %</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31,5</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22,8</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18,4</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44,7</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19,6</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Среднемесячное число заказов онлайн, ед.</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1 240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2 870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1 880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9 350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4 110</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Средний чек онлайн, руб.</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31 600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3 950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12 470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1 750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5 320</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Используемые маркетплейсы</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Вайлдберриз, Озон, Яндекс Маркет</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Вайлдберриз, Озон</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Яндекс Маркет, СберМаркет</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Расчётный сервис</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СБП, эквайринг</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СБП, эквайринг</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СБП, эквайринг</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СБП, СберПэй</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СБП, эквайринг</w:t>
            </w:r>
          </w:p>
        </w:tc>
      </w:tr>
    </w:tbl>
    <w:p>
      <w:pPr>
        <w:ind w:firstLine="0"/>
      </w:pPr>
    </w:p>
    <w:p>
      <w:pPr>
        <w:jc w:val="both"/>
      </w:pPr>
      <w:r>
        <w:t>Источник: составлено автором по данным ФНС России [55], открытым сведениям СПАРК-Интерфакс, Контур.Фокус, материалам сайтов и кабинетов на маркетплейсах за 2024 год; отдельные показатели округлены и обезличены.</w:t>
      </w:r>
    </w:p>
    <w:p>
      <w:pPr>
        <w:jc w:val="both"/>
      </w:pPr>
      <w:r>
        <w:t>Анализ таблицы 4 позволяет сделать несколько важных наблюдений. Во-первых, у всех пяти предприятий доля онлайн-канала превышает уровень, характерный для российской торговли в целом, что подтверждает релевантность выборки. Во-вторых, профиль и характер цифровых каналов у разных объектов различен: торгово-инжиниринговые и фермерские предприятия используют преимущественно маркетплейсы, медицинские и стоматологические — собственные сайты с системами онлайн-записи. В-третьих, средние чеки и месячные объёмы заказов формируют разную «массу» цифровых операций: от относительно небольшой у П-2 (медицинский центр) до многотысячной у П-4 (фермерский маркетплейс).</w:t>
      </w:r>
    </w:p>
    <w:p>
      <w:pPr>
        <w:jc w:val="both"/>
      </w:pPr>
      <w:r>
        <w:t>Для предварительной оценки цифровой интенсивности коммерческой деятельности в работе применяется коэффициент K_ди, рассчитываемый по выражению</w:t>
      </w:r>
    </w:p>
    <w:p>
      <w:pPr>
        <w:spacing w:line="240" w:lineRule="auto"/>
        <w:ind w:firstLine="0"/>
        <w:jc w:val="center"/>
      </w:pPr>
      <w:r>
        <w:t>K_ди = (V_онл × T_онл) / (V_общ × T_общ)</w:t>
      </w:r>
    </w:p>
    <w:p>
      <w:pPr>
        <w:spacing w:line="240" w:lineRule="auto"/>
        <w:ind w:firstLine="0"/>
        <w:jc w:val="right"/>
      </w:pPr>
      <w:r>
        <w:t>(2)</w:t>
      </w:r>
    </w:p>
    <w:p>
      <w:pPr>
        <w:spacing w:line="240" w:lineRule="auto"/>
        <w:ind w:firstLine="0"/>
      </w:pPr>
      <w:r>
        <w:t>где:</w:t>
      </w:r>
    </w:p>
    <w:p>
      <w:pPr>
        <w:spacing w:line="240" w:lineRule="auto"/>
        <w:ind w:firstLine="0" w:left="709"/>
      </w:pPr>
      <w:r>
        <w:t>V_онл — выручка предприятия от онлайн-канала за период, тыс. руб.;</w:t>
      </w:r>
    </w:p>
    <w:p>
      <w:pPr>
        <w:spacing w:line="240" w:lineRule="auto"/>
        <w:ind w:firstLine="0" w:left="709"/>
      </w:pPr>
      <w:r>
        <w:t>T_онл — число операций (заказов) онлайн за период, ед.;</w:t>
      </w:r>
    </w:p>
    <w:p>
      <w:pPr>
        <w:spacing w:line="240" w:lineRule="auto"/>
        <w:ind w:firstLine="0" w:left="709"/>
      </w:pPr>
      <w:r>
        <w:t>V_общ — общая выручка предприятия за период, тыс. руб.;</w:t>
      </w:r>
    </w:p>
    <w:p>
      <w:pPr>
        <w:spacing w:line="240" w:lineRule="auto"/>
        <w:ind w:firstLine="0" w:left="709"/>
      </w:pPr>
      <w:r>
        <w:t>T_общ — общее число операций за период (онлайн и офлайн), ед.;</w:t>
      </w:r>
    </w:p>
    <w:p>
      <w:pPr>
        <w:jc w:val="both"/>
      </w:pPr>
      <w:r>
        <w:t>Для модельной группы значения коэффициента, рассчитанные по итогам 2024 года, представлены в таблице 5. Уже из этих данных видно, что наиболее «цифровой» оказалась П-4 (фермерский маркетплейс), тогда как для П-3 (оптово-розничная торговля стройматериалами) коэффициент остаётся низким, что связано с преобладанием корпоративный сегмент («бизнес-для-бизнеса»)а и крупного складского отпуска.</w:t>
      </w:r>
    </w:p>
    <w:p>
      <w:pPr>
        <w:spacing w:line="240" w:lineRule="auto"/>
        <w:ind w:firstLine="0"/>
        <w:jc w:val="left"/>
      </w:pPr>
      <w:r>
        <w:rPr>
          <w:rFonts w:ascii="Times New Roman" w:hAnsi="Times New Roman"/>
          <w:sz w:val="28"/>
        </w:rPr>
        <w:t>Таблица 5 — Коэффициент цифровой интенсивности K_ди для модельной группы предприятий ЮЗАО за 2024 год</w:t>
      </w:r>
    </w:p>
    <w:tbl>
      <w:tblPr>
        <w:tblStyle w:val="TableGrid"/>
        <w:tblW w:type="auto" w:w="0"/>
        <w:tblLook w:firstColumn="1" w:firstRow="1" w:lastColumn="0" w:lastRow="0" w:noHBand="0" w:noVBand="1" w:val="04A0"/>
      </w:tblPr>
      <w:tblGrid>
        <w:gridCol w:w="2409"/>
        <w:gridCol w:w="2409"/>
        <w:gridCol w:w="2409"/>
        <w:gridCol w:w="2409"/>
      </w:tblGrid>
      <w:tr>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Предприятие</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V_онл / V_общ</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T_онл / T_общ</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K_ди</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П-1</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0,315</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0,420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0,132</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0,228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0,640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0,146</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П-3</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0,184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0,310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0,057</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0,447</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0,820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0,367</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П-5</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0,196</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0,550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0,108</w:t>
            </w:r>
          </w:p>
        </w:tc>
      </w:tr>
    </w:tbl>
    <w:p>
      <w:pPr>
        <w:ind w:firstLine="0"/>
      </w:pPr>
    </w:p>
    <w:p>
      <w:pPr>
        <w:jc w:val="both"/>
      </w:pPr>
      <w:r>
        <w:t>Авторская интерпретация значений коэффициента: уровень выше 0,20 говорит о высокой цифровой интенсивности коммерческой деятельности; 0,10–0,20 — средний уровень; ниже 0,10 — низкая интенсивность. По шкале П-4 уверенно занимает позицию «высокой» интенсивности, П-1, П-2 и П-5 — «средней», П-3 — «низкой». Этот результат служит ориентиром при формировании предложений в третьей главе: интенсивность цифрового канала задаёт глубину необходимых мер по обеспечению экономической безопасности.</w:t>
      </w:r>
    </w:p>
    <w:p>
      <w:pPr>
        <w:jc w:val="both"/>
      </w:pPr>
      <w:r>
        <w:t>Особого внимания требует структура нормативно-правовой ответственности каждой организации в части цифровых каналов. Все объекты модельной группы обязаны соблюдать требования Федеральных законов № 152-ФЗ «О персональных данных», № 149-ФЗ «Об информации, информационных технологиях и о защите информации», Закона Российской Федерации № 2300-1 «О защите прав потребителей», а также Постановления Правительства Российской Федерации от 31 декабря 2020 года № 2463 «Об утверждении Правил продажи товаров». Дополнительно П-2 и П-5 (медицинские объекты) попадают в сферу действия Федерального закона от 21 ноября 2011 года № 323-ФЗ «Об основах охраны здоровья граждан», а также подзаконных актов Минздрава России о телемедицине; П-3 (торговля строительными материалами) — ряда отраслевых стандартов и обязательной маркировки части ассортимента; П-1 (инжиниринговое оборудование) — отдельных требований к технической документации и сертификации.</w:t>
      </w:r>
    </w:p>
    <w:p>
      <w:pPr>
        <w:jc w:val="both"/>
      </w:pPr>
      <w:r>
        <w:t>Заслуживают рассмотрения и средне-отраслевые показатели эффективности коммерческой деятельности. Среднее значение конверсии в покупку для самостоятельных интернет-магазинов России в 2024 году, по обобщённым данным «Дата Инсайт», составило 2,8 % (для маркетплейсов — около 7,5 %, для специализированных нишевых сайтов — 1,5–3,5 %). Средний показатель удержания клиента (коэффициент удержания клиентов) в розничной онлайн-торговле — 28–35 %; индекс лояльности клиентов для среднего сегмента — 22–32 пункта; доля возвратов (обратный платёж по оспариванию) для добросовестных интернет-магазинов — 0,9–1,8 %. Эти ориентиры будут использованы при оценке текущего состояния модельной группы в следующем параграфе.</w:t>
      </w:r>
    </w:p>
    <w:p>
      <w:pPr>
        <w:jc w:val="both"/>
      </w:pPr>
      <w:r>
        <w:t>Если рассматривать модельную группу через призму классической классификации коммерческих предприятий, можно выделить три устойчивых типа. Первый — «торгово-промышленный» (П-1 и П-3): эти предприятия совмещают функции продавца товаров и поставщика сопутствующих услуг, имеют развитую складскую и логистическую базу, активно используют корпоративный сегмент-инструменты и маркетплейсы. Второй — «сервисно-медицинский» (П-2 и П-5): сосредоточены на оказании персональных услуг, их интернет-каналы построены вокруг систем онлайн-записи, личных кабинетов клиентов и систем напоминаний. Третий — «сетевой агрегатор» (П-4): организует обмен товаров и услуг между третьими лицами, что предъявляет повышенные требования к доверию, прозрачности и скорости расчётов. Каждому типу свойственны свои критические точки экономической безопасности, что подробно раскрывается в следующем параграфе и определяет содержание программы концептуальных предложений.</w:t>
      </w:r>
    </w:p>
    <w:p>
      <w:pPr>
        <w:jc w:val="both"/>
      </w:pPr>
      <w:r>
        <w:t>По итогам сопоставления модельной группы с открытыми статистическими данными ФНС России и Росстата установлено, что финансовая динамика выбранных предприятий в целом соответствует общему тренду московского рынка. В 2022 — 2024 годах выручка субъектов малого предпринимательства Москвы выросла на 47 %, в том числе по сегменту цифровых каналов — на 78 %. У объектов модельной группы аналогичные параметры составили 41 % и 71 % соответственно, что подтверждает достаточную репрезентативность выборки. С точки зрения уплаты налогов ситуация также показательна: совокупные начисленные налоги по группе за 2024 год составили около 41,2 млн руб., что соответствует средней нагрузке порядка 6,9 % к выручке; это укладывается в типовой диапазон для коммерческих организаций избранных профилей и согласуется с условиями специальных налоговых режимов (упрощённая система налогообложения, патентная система налогообложения, налог на профессиональный доход для индивидуальных предпринимателей).</w:t>
      </w:r>
    </w:p>
    <w:p>
      <w:pPr>
        <w:jc w:val="both"/>
      </w:pPr>
      <w:r>
        <w:t>Промежуточный вывод по параграфу. Модельная группа объединяет коммерческие предприятия ЮЗАО, относящиеся к малому и среднему предпринимательству, демонстрирующие разную степень цифровой интенсивности и подпадающие под общие и специальные требования российского законодательства. Подобная разнородность является не недостатком, а методическим преимуществом, поскольку позволяет в третьей главе сформулировать дифференцированный комплекс мер, который при сохранении общей рамки учитывает индивидуальные особенности каждого предприятия. Следующий параграф посвящён анализу цифровых каналов и ассортиментной политики этой модельной группы.</w:t>
      </w:r>
    </w:p>
    <w:p>
      <w:bookmarkStart w:id="1009" w:name="h_sec_2_3"/>
      <w:pPr>
        <w:pStyle w:val="Heading2"/>
      </w:pPr>
      <w:r>
        <w:t>2.3 Анализ цифровых каналов, ассортиментной политики и факторов экономической безопасности модельной группы предприятий</w:t>
      </w:r>
      <w:bookmarkEnd w:id="1009"/>
    </w:p>
    <w:p/>
    <w:p>
      <w:pPr>
        <w:jc w:val="both"/>
      </w:pPr>
      <w:r>
        <w:t>Анализ цифровых каналов коммерческих предприятий модельной группы выполнен по единой методике, объединяющей четыре блока: (1) структура каналов взаимодействия с клиентами, (2) ассортиментная политика и маркировка товаров, (3) состояние расчётной инфраструктуры, (4) уровень защищённости от типовых угроз экономической безопасности. Источниками сведений послужили открытые материалы сайтов и кабинетов на маркетплейсах, обобщённые отчёты ФинЦЕРТ Банка России, материалы СПАРК-Интерфакс и Контур.Фокус, а также наблюдения автора в ходе преддипломной практики.</w:t>
      </w:r>
    </w:p>
    <w:p>
      <w:pPr>
        <w:jc w:val="both"/>
      </w:pPr>
      <w:r>
        <w:t>По блоку структуры каналов установлено следующее. У предприятия П-1 (инжиниринговое оборудование) присутствует собственный сайт-каталог, кабинеты на трёх крупнейших российских маркетплейсах (Вайлдберриз, Озон, Яндекс Маркет) и канал в Телеграм для оптовых клиентов; основная часть выручки приходит со сторонних площадок. У П-2 (медицинский центр) ведущим каналом служит собственный сайт с виджетом онлайн-записи, дополняемый каналом в Телеграм, ориентированным на повторные обращения. У П-3 (стройматериалы) активны два маркетплейса и собственный корпоративный кабинет с интеграцией «1С:Управление нашей фирмой»; объём интернет-торговли уступает офлайн-продажам с собственных складов. У П-4 (фермерский маркетплейс) применяется собственное мобильное приложение, дополненное модулем СберПэй и интеграцией с агрегатором Яндекс Доставка; доля онлайн-операций приближается к половине общего количества. У П-5 (стоматология) ключевым является корпоративный сайт с системой записи и каналом «корпоративный Ватсап».</w:t>
      </w:r>
    </w:p>
    <w:p>
      <w:pPr>
        <w:jc w:val="both"/>
      </w:pPr>
      <w:r>
        <w:t>Ассортиментная политика и маркировка товаров — отдельный аспект анализа. Поскольку с 2019 года в Российской Федерации поэтапно введена обязательная цифровая маркировка отдельных групп товаров, реализуемая через систему «Честный знак» (оператор — ООО «Оператор-ЦРПТ»), для предприятий П-1 и П-3 это формирует прямые операционные обязанности. На сайтах и в кабинетах маркетплейсов автором отмечена корректная привязка кодов маркировки к товарным позициям; вместе с тем у П-3 в одной из категорий (электрика мелких номиналов) встречаются пропуски в указании сведений о происхождении товара, что в перспективе может создавать риск штрафа по статье 15.12 Кодекса Российской Федерации об административных правонарушениях. У П-4 (фермерская продукция) обязательной маркировке подлежит часть позиций (молочная продукция, упакованная вода); проверка показывает, что предприятие в целом соблюдает требования, хотя обновление справочников в приложении выполняется с задержкой до десяти дней. Для П-2 и П-5 «Честный знак» прямого отношения не имеет, однако к их интернет-каналам предъявляются дополнительные требования по обеспечению медицинской тайны.</w:t>
      </w:r>
    </w:p>
    <w:p>
      <w:pPr>
        <w:jc w:val="both"/>
      </w:pPr>
      <w:r>
        <w:t>Расчётная инфраструктура у всех предприятий модельной группы строится на сочетании Системы быстрых платежей, эквайринга и платёжных функций самих маркетплейсов. Доля операций через Систему быстрых платежей по итогам 2024 года выросла у всех объектов: у П-1 — до 27 %, у П-2 — до 31 %, у П-3 — до 22 %, у П-4 — до 43 %, у П-5 — до 24 %. Это положительная динамика, поскольку Система быстрых платежей характеризуется низкой комиссией (тарифы Банка России — от 0,4 до 0,7 %), высокой скоростью проведения операций и встроенной идентификацией плательщика. Однако одновременное использование нескольких платёжных каналов создаёт дополнительные точки уязвимости и повышает требования к антифрод-системам.</w:t>
      </w:r>
    </w:p>
    <w:p>
      <w:pPr>
        <w:jc w:val="both"/>
      </w:pPr>
      <w:r>
        <w:t>Анализ уровня защищённости от типовых угроз представлен в таблице 6 по семи позициям. Оценка зрелости каждой меры выполнена в процентном выражении и отражает фактическую степень внедрения соответствующего инструмента: значение 100 % соответствует полной и регламентированной реализации меры на всех значимых процессах предприятия; 75 % — реализации с отдельными частными ограничениями; 50 % — частичной реализации, охватывающей часть бизнес-процессов или ключевых сотрудников; 25 % — фрагментарной реализации, носящей эпизодический характер; 0 % — отсутствию соответствующей меры. Шкала является авторской и согласована с рекомендациями Банка России по оценке зрелости информационной безопасности субъектов малого и среднего предпринимательства [49].</w:t>
      </w:r>
    </w:p>
    <w:p>
      <w:pPr>
        <w:spacing w:line="240" w:lineRule="auto"/>
        <w:ind w:firstLine="0"/>
        <w:jc w:val="left"/>
      </w:pPr>
      <w:r>
        <w:rPr>
          <w:rFonts w:ascii="Times New Roman" w:hAnsi="Times New Roman"/>
          <w:sz w:val="28"/>
        </w:rPr>
        <w:t>Таблица 6 — Сводная оценка зрелости мер защиты интернет-каналов модельной группы предприятий ЮЗАО, %</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Мера защиты</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П-1</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П-2</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П-3</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П-4</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П-5</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Двухфакторная аутентификация для сотрудников</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Проверка контрагентов через СПАРК / Контур.Фокус</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Антифрод-модуль для платежей</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Регулярное резервное копирование (не реже одного раза в 24 часа)</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Регулярные обновления системы управления содержанием сайта и мобильных приложений</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Регламентация работы с персональными данными</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Программа обучения персонала кибергигиене</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Среднее значение зрелости мер защиты</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78,6</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42,9</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71,4</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85,7</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50,0</w:t>
            </w:r>
          </w:p>
        </w:tc>
      </w:tr>
    </w:tbl>
    <w:p>
      <w:pPr>
        <w:ind w:firstLine="0"/>
      </w:pPr>
    </w:p>
    <w:p>
      <w:pPr>
        <w:jc w:val="both"/>
      </w:pPr>
      <w:r>
        <w:t>Источник: составлено автором по результатам анализа открытых материалов сайтов и кабинетов на маркетплейсах, обобщённым отчётам ФинЦЕРТ и наблюдениям, сделанным в ходе преддипломной практики.</w:t>
      </w:r>
    </w:p>
    <w:p>
      <w:pPr>
        <w:jc w:val="both"/>
      </w:pPr>
      <w:r>
        <w:t>Из таблицы 6 видно, что наиболее распространённой проблемой во всех пяти объектах оказывается отсутствие или фрагментарность программы обучения персонала кибергигиене (среднее значение по группе — 20,0 %). По обобщённой оценке Банка России [49], около 70 % инцидентов в коммерческих организациях вызваны не техническими, а социально-инженерными воздействиями — звонками от «службы безопасности банка», поддельными письмами от «руководителя», подменой реквизитов. Без системного обучения персонала ни одна техническая мера полной защиты не обеспечит. Второй чувствительный участок — антифрод-модуль для платежей: у П-2 и П-5 он отсутствует, у П-3 реализован лишь частично, что закладывает наибольший потенциал потерь от мошенничества с банковскими картами и переводов.</w:t>
      </w:r>
    </w:p>
    <w:p>
      <w:pPr>
        <w:jc w:val="both"/>
      </w:pPr>
      <w:r>
        <w:t>На основе таблиц 4–6 рассчитан индекс цифрового доверия (ИЦД), введённый в первой главе. Для перевода процентных оценок в значения по шкале от 0 до 1 принят прямой пересчёт: 100 % соответствует значению 1,00; 50 % — 0,50; 0 % — 0,00 и т. д. Полученные результаты приведены в таблице 7. Они подтверждают сделанные ранее выводы: предприятия П-1, П-3 и П-4 находятся в зоне приемлемого уровня устойчивости, П-2 и П-5 — в зоне «ниже среднего». Шкала интерпретации значений ИЦД и состав индикаторов раннего реагирования, использованных в третьей главе, систематизированы в приложении Б. В третьей главе работы предложен набор мер, обеспечивающих переход всех пяти объектов в зону «высокий уровень».</w:t>
      </w:r>
    </w:p>
    <w:p>
      <w:pPr>
        <w:spacing w:line="240" w:lineRule="auto"/>
        <w:ind w:firstLine="0"/>
        <w:jc w:val="left"/>
      </w:pPr>
      <w:r>
        <w:rPr>
          <w:rFonts w:ascii="Times New Roman" w:hAnsi="Times New Roman"/>
          <w:sz w:val="28"/>
        </w:rPr>
        <w:t>Таблица 7 — Расчётные значения индекса цифрового доверия (ИЦД) для модельной группы предприятий ЮЗАО на 2024 год</w:t>
      </w:r>
    </w:p>
    <w:tbl>
      <w:tblPr>
        <w:tblStyle w:val="TableGrid"/>
        <w:tblW w:type="auto" w:w="0"/>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Предприятие</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k_1</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k_2</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k_3</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k_4</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k_5</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k_6</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k_7</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ИЦД</w:t>
            </w:r>
          </w:p>
        </w:tc>
      </w:tr>
      <w:tr>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П-1</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0,71</w:t>
            </w:r>
          </w:p>
        </w:tc>
      </w:tr>
      <w:tr>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П-2</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0,43</w:t>
            </w:r>
          </w:p>
        </w:tc>
      </w:tr>
      <w:tr>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П-3</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0,64</w:t>
            </w:r>
          </w:p>
        </w:tc>
      </w:tr>
      <w:tr>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П-4</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0,86</w:t>
            </w:r>
          </w:p>
        </w:tc>
      </w:tr>
      <w:tr>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П-5</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r>
    </w:tbl>
    <w:p>
      <w:pPr>
        <w:ind w:firstLine="0"/>
      </w:pPr>
    </w:p>
    <w:p>
      <w:pPr>
        <w:jc w:val="both"/>
      </w:pPr>
      <w:r>
        <w:t>Сопоставление таблиц 4 и 7 позволяет увидеть закономерность: уровень индекса цифрового доверия положительно коррелирует с долей выручки от онлайн-канала. Это согласуется с теоретической посылкой первой главы: коммерческое предприятие, осознанно увеличивая роль интернет-каналов, вынуждено выстраивать соответствующий уровень цифровой защиты, иначе риски опережают выгоды. Вместе с тем расчёт демонстрирует, что у двух из пяти предприятий (П-2 и П-5) текущая защита явно отстаёт от объёма цифровой активности — именно для них концептуальные предложения третьей главы будут наиболее ощутимыми.</w:t>
      </w:r>
    </w:p>
    <w:p>
      <w:pPr>
        <w:jc w:val="both"/>
      </w:pPr>
      <w:r>
        <w:t>Из материалов справочного характера, изученных автором в ходе преддипломной практики, дополнительно подтверждено, что коммерческие предприятия медицинского и стоматологического профиля чаще других становятся объектом фишинговых рассылок, имитирующих требования контролирующих органов. Это связано с высокой чувствительностью персональных данных пациентов и относительно невысокой долей собственных служб информационной безопасности. На этом фоне ОЭБиПК УВД по ЮЗАО уже формирует обезличенные обзоры типовых схем мошенничества против медицинских организаций; распространение подобных обзоров через профессиональные ассоциации представляется одной из наиболее простых и при этом эффективных профилактических мер.</w:t>
      </w:r>
    </w:p>
    <w:p>
      <w:pPr>
        <w:jc w:val="both"/>
      </w:pPr>
      <w:r>
        <w:t>Сравнительный анализ ассортиментной структуры пяти предприятий по итогам 2024 года показывает существенные различия. У П-1 общий ассортимент насчитывает около 4 800 товарных позиций (товарных позиций), активных в течение года — около 3 200; широта линейки достигается за счёт партнёрских поставок инженерного оборудования. У П-2 (медицинский центр) услуговая «линейка» насчитывает 142 позиции, из них онлайн-запись доступна для 116. У П-3 (стройматериалы) ассортимент превышает 12 400 товарных позиций, что характерно для оптово-розничного формата. У П-4 (фермерский маркетплейс) ассортимент динамичен: ежемесячно около 1 200 — 1 600 свежих позиций, оборачиваемость которых составляет 3 — 6 дней. У П-5 (стоматология) реестр услуг насчитывает 78 позиций, дополняемых индивидуальными планами лечения. Подобное разнообразие подчёркивает необходимость дифференцированной программы концептуальных предложений: то, что приемлемо для П-3 с тысячами товарных позиций, неприменимо для П-2 с десятками услуг.</w:t>
      </w:r>
    </w:p>
    <w:p>
      <w:pPr>
        <w:jc w:val="both"/>
      </w:pPr>
      <w:r>
        <w:t>Любопытные результаты дал анализ ассортиментных и маркетинговых характеристик. Все пять предприятий используют упрощённую систему отзывов и оценок (рейтинг от одной до пяти звёзд), однако только два из них (П-3 и П-4) применяют автоматическую модерацию отзывов с проверкой подлинности по идентификатору заказа. У П-2 и П-5 модерация отзывов осуществляется вручную, а у П-1 модерация фактически отсутствует. С точки зрения экономической безопасности это создаёт почву для двух видов недобросовестных действий: «накрутки» положительных отзывов и распространения заведомо ложных негативных отзывов с целью репутационной атаки. По обобщённым данным Координационного центра доменов.RU/.РФ, в 2024 году доля «фейковых» отзывов в российских интернет-магазинах оценивалась в 9 — 12 % от общего объёма, что наносит коммерческим предприятиям прямой ущерб в виде искажения покупательских решений.</w:t>
      </w:r>
    </w:p>
    <w:p>
      <w:pPr>
        <w:jc w:val="both"/>
      </w:pPr>
      <w:r>
        <w:t>Отдельный раздел анализа касался работы предприятий с обращениями клиентов и реакцией на инциденты. Среднее время ответа на обращение по электронной почте составило: у П-1 — 18 часов, у П-2 — 6 часов, у П-3 — 11 часов, у П-4 — 3 часа, у П-5 — 9 часов. Эти значения позволяют судить о готовности предприятий быстро реагировать на жалобы и подозрительные ситуации; именно скорость реакции в современной интернет-коммерции является одним из значимых показателей. По обобщённой статистике АКИТ [52], увеличение времени ответа сверх двенадцати часов снижает индекс лояльности клиентов в среднем на 6 — 9 пунктов, что коррелирует с долями возвратов и оттоком клиентов. Применительно к модельной группе становится ясно, что П-1 и П-3, несмотря на достаточно высокий индекс цифрового доверия, теряют дополнительные пункты лояльности именно из-за относительно медленной обратной связи.</w:t>
      </w:r>
    </w:p>
    <w:p>
      <w:pPr>
        <w:jc w:val="both"/>
      </w:pPr>
      <w:r>
        <w:t>Из материалов справочного характера, рассмотренных в ходе преддипломной практики, обнаруживается ещё одна важная закономерность: в большинстве случаев первичный сигнал о подозрительной активности на интернет-канале предприятия поступает не от самого предприятия, а извне — от клиентов, обслуживающего банка, поисковых систем или конкурентов. Это означает, что классическая концепция «самозащиты» коммерческой организации не работает в полной мере: предприятие, как правило, узнаёт об угрозе тогда, когда часть ущерба уже наступила. Подобный «парадокс позднего сигнала» особенно характерен для медицинских и стоматологических организаций, в которых отсутствие выделенных служб информационной безопасности компенсируется лишь регулярными внешними аудитами, проводимыми не чаще одного-двух раз в год. На этом фоне профилактическая роль ОЭБиПК, обеспечивающая раннее предупреждение через обезличенные обзоры и горячую линию консультаций, приобретает не теоретический, а прямой управленческий смысл.</w:t>
      </w:r>
    </w:p>
    <w:p>
      <w:pPr>
        <w:jc w:val="both"/>
      </w:pPr>
      <w:r>
        <w:t>Особого внимания заслуживает практика работы с возвратами. По данным сервисов СПАРК-Интерфакс и Контур.Фокус [55; 56], в 2024 году усреднённая доля возвратов на маркетплейсах российских предприятий составляла 18 — 28 %, а доля «спорных» возвратов — около 1,1 %. У модельной группы фактические показатели близки к этим ориентирам: у П-1 общая доля возвратов 19 %, у П-3 — 14 %, у П-4 — 8 %. Меньшая доля у П-4 объясняется характером ассортимента (свежая продукция, доставленная в день заказа); этот же фактор делает фермерский маркетплейс особенно уязвимым к рискам, связанным с подделкой документов о качестве. По этой причине именно для П-4 в третьей главе предусмотрены дополнительные предложения, ориентированные на работу с системой «Меркурий» Россельхознадзора.</w:t>
      </w:r>
    </w:p>
    <w:p>
      <w:pPr>
        <w:jc w:val="both"/>
      </w:pPr>
      <w:r>
        <w:t>Завершая параграф и вторую главу, можно зафиксировать главное наблюдение: ни одно из пяти предприятий модельной группы не работает изолированно от национальной инфраструктуры доверия. Все они в той или иной мере используют Систему быстрых платежей, маркировку «Честный знак», сервисы должной осмотрительности, ассистентов налоговой отчётности. Это означает, что для существенного повышения экономической безопасности и эффективности коммерческой деятельности нет необходимости в дорогостоящих собственных решениях. Достаточно встроить интернет-каналы предприятий в государственные и отраслевые сервисы и подключить к этому процессу аналитический и профилактический ресурс ОЭБиПК. Конкретное содержание подобной программы и её ожидаемая результативность раскрываются в третьей главе настоящей работы.</w:t>
      </w:r>
    </w:p>
    <w:p>
      <w:pPr>
        <w:ind w:firstLine="0"/>
      </w:pPr>
      <w:r>
        <w:br w:type="page"/>
      </w:r>
    </w:p>
    <w:p>
      <w:bookmarkStart w:id="1010" w:name="h_ch3"/>
      <w:pPr>
        <w:pStyle w:val="Heading1"/>
      </w:pPr>
      <w:r>
        <w:rPr>
          <w:b/>
        </w:rPr>
        <w:t>ГЛАВА 3. ПЕРСПЕКТИВЫ ПРИМЕНЕНИЯ ИНТЕРНЕТ-ТЕХНОЛОГИЙ В КОММЕРЧЕСКОЙ ДЕЯТЕЛЬНОСТИ ПРЕДПРИЯТИЙ ЮЗАО И ОЦЕНКА ЭФФЕКТИВНОСТИ ПРЕДЛАГАЕМЫХ КОНЦЕПТУАЛЬНЫХ ПРЕДЛОЖЕНИЙ</w:t>
      </w:r>
      <w:bookmarkEnd w:id="1010"/>
    </w:p>
    <w:p/>
    <w:p>
      <w:bookmarkStart w:id="1011" w:name="h_sec_3_1"/>
      <w:pPr>
        <w:pStyle w:val="Heading2"/>
      </w:pPr>
      <w:r>
        <w:t>3.1 Концептуальные предложения по профилактике, аналитике, цифровому мониторингу и межведомственному обмену данными как комплексу мер ОЭБиПК для коммерческих предприятий</w:t>
      </w:r>
      <w:bookmarkEnd w:id="1011"/>
    </w:p>
    <w:p/>
    <w:p>
      <w:pPr>
        <w:jc w:val="both"/>
      </w:pPr>
      <w:r>
        <w:t>Комплекс концептуальных предложений, разработанный по результатам теоретического анализа первой главы и практического обследования модельной группы во второй главе, выстроен по четырёхзвенной формуле: профилактика → аналитика → цифровой мониторинг → межведомственный обмен данными. Подобная последовательность отражает современную методологию работы подразделений экономической безопасности и согласуется с положениями национального проекта «Экономика данных и цифровая трансформация государства».</w:t>
      </w:r>
    </w:p>
    <w:p>
      <w:pPr>
        <w:jc w:val="both"/>
      </w:pPr>
      <w:r>
        <w:t>Первое звено — профилактика. Его задача состоит в том, чтобы предотвращать наступление инцидентов в коммерческой деятельности предприятий до момента их возникновения. В работе предлагается формализовать четыре конкретные меры: (а) ежеквартальные практико-ориентированные семинары для предпринимателей округа, организованные совместно с Московской торгово-промышленной палатой и Московским отделением общероссийской общественной организации «ОПОРА РОССИИ», на которых сотрудники ОЭБиПК делятся обезличенными разборами типовых схем мошенничества; (б) рассылка чек-листов кибергигиены через профильные ассоциации (Ассоциация компаний интернет-торговли, Российская ассоциация электронных коммуникаций, профессиональные медицинские объединения); (в) горячая линия консультаций по экономической безопасности при УВД по ЮЗАО, доступная для предпринимателей в формате колл-центра и официального чата в государственном мессенджере; (г) формирование совместно с банковским сектором (ПАО «Сбербанк», ВТБ, Альфа-Банк) бесплатных коротких онлайн-курсов «Кибергигиена для МСП» с выдачей подтверждающего сертификата.</w:t>
      </w:r>
    </w:p>
    <w:p>
      <w:pPr>
        <w:jc w:val="both"/>
      </w:pPr>
      <w:r>
        <w:t>Второе звено — аналитика. Здесь предлагается развивать практику обезличенных тематических обзоров, выпускаемых аналитической службой ОЭБиПК. Обзоры могут готовиться раз в квартал и охватывать наиболее острые направления: фишинг под видом маркетплейсов, схемы «бумажного» налога на добавленную стоимость с использованием технических контрагентов, мошенничество с возвратами и обратный платёж по оспариванию, недобросовестная конкуренция на электронных торговых площадках, фиктивная самозанятость в интернет-торговле. Обзоры должны содержать обобщённую статистику, описание схемы, признаки риска и практические рекомендации. Доступ к обзорам — открытый, через сайт УВД по ЮЗАО и партнёрские каналы; полная аналитика — по запросу для коммерческих предприятий, подключённых к программе профилактики.</w:t>
      </w:r>
    </w:p>
    <w:p>
      <w:pPr>
        <w:jc w:val="both"/>
      </w:pPr>
      <w:r>
        <w:t>Третье звено — цифровой мониторинг. Под ним понимается систематическое наблюдение за признаками подозрительных операций на коммерческих интернет-каналах с использованием информационных систем АИС МВД, Единой информационной системы МВД и партнёрских сервисов (СПАРК-Интерфакс, Контур.Фокус, «СПАРК-Риски», ЗАЧЕСТНЫЙБИЗНЕС). Применительно к коммерческим предприятиям ЮЗАО в работе предложена авторская система раннего обнаружения признаков противоправных действий, объединяющая пять интегральных индикаторов: динамику обращений потребителей; появление в открытом поиске копий ресурсов предприятия; динамику операций, оспоренных плательщиками; изменения в составе руководства и бенефициаров контрагентов; аномальную ценовую динамику на торговых интернет-площадках, типичную для схем легализации доходов. Подробное описание индикаторов, их пороговых значений и порядка совместного применения с индексом цифрового доверия приведено в приложении Б. При одновременном превышении пороговых значений по двум и более индикаторам подразделение направляет руководству коммерческого предприятия мотивированное обращение и предлагает совместный анализ ситуации.</w:t>
      </w:r>
    </w:p>
    <w:p>
      <w:pPr>
        <w:jc w:val="both"/>
      </w:pPr>
      <w:r>
        <w:t>Четвёртое звено — межведомственный обмен данными. По итогам преддипломной практики [26; 50] автор предлагает три практические инициативы. Первая — институциональная: формирование на уровне ЮЗАО постоянно действующей рабочей группы «бизнес — ОЭБиПК — ФНС России — Банк России (ФинЦЕРТ) — Росфинмониторинг — прокуратура» с регулярными ежеквартальными заседаниями. Вторая — технологическая: интеграция профильных запросов ОЭБиПК со «Сводным цифровым профилем юридического лица» Минцифры России на платформе ГосТех. Третья — нормативная: подготовка типовых соглашений об информационном обмене между ОЭБиПК и отраслевыми ассоциациями округа с описанием формата и периодичности обмена обезличенными данными о выявленных схемах.</w:t>
      </w:r>
    </w:p>
    <w:p>
      <w:pPr>
        <w:spacing w:line="240" w:lineRule="auto"/>
        <w:ind w:firstLine="0"/>
        <w:jc w:val="left"/>
      </w:pPr>
      <w:r>
        <w:rPr>
          <w:rFonts w:ascii="Times New Roman" w:hAnsi="Times New Roman"/>
          <w:sz w:val="28"/>
        </w:rPr>
        <w:t>Таблица 8 — Сводная программа концептуальных предложений для модельной группы предприятий ЮЗАО</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Звено</w:t>
            </w:r>
          </w:p>
        </w:tc>
        <w:tc>
          <w:tcPr>
            <w:tcW w:type="dxa" w:w="192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Мероприятие</w:t>
            </w:r>
          </w:p>
        </w:tc>
        <w:tc>
          <w:tcPr>
            <w:tcW w:type="dxa" w:w="192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Сроки</w:t>
            </w:r>
          </w:p>
        </w:tc>
        <w:tc>
          <w:tcPr>
            <w:tcW w:type="dxa" w:w="192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Ответственный</w:t>
            </w:r>
          </w:p>
        </w:tc>
        <w:tc>
          <w:tcPr>
            <w:tcW w:type="dxa" w:w="192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Ожидаемый эффект</w:t>
            </w:r>
          </w:p>
        </w:tc>
      </w:tr>
      <w:tr>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Профилактика</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Ежеквартальный семинар для предпринимателей округа</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I и III кварталы 2026 г.</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ОЭБиПК + МТПП + ОПОРА РОССИИ</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числа инцидентов до их наступления</w:t>
            </w:r>
          </w:p>
        </w:tc>
      </w:tr>
      <w:tr>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Профилактика</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Курс «Кибергигиена для МСП» с сертификацией</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II квартал 2026 г.</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ОЭБиПК + банки-партнёры</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Повышение зрелости персонала</w:t>
            </w:r>
          </w:p>
        </w:tc>
      </w:tr>
      <w:tr>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Аналитика</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Обезличенные тематические обзоры по типовым схемам</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Раз в квартал</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Аналитическая служба ОЭБиПК</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Обновление внутренних регламентов предприятий</w:t>
            </w:r>
          </w:p>
        </w:tc>
      </w:tr>
      <w:tr>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Цифровой мониторинг</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Система «пять индикаторов раннего реагирования»</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Постоянно</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Аналитическая служба ОЭБиПК</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Раннее выявление подозрительных операций</w:t>
            </w:r>
          </w:p>
        </w:tc>
      </w:tr>
      <w:tr>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Межведомственный обмен</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Рабочая группа «бизнес — ЭБиПК — ФНС — Банк России — Росфинмониторинг»</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Ежеквартально</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УВД по ЮЗАО</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Целостная картина рисков, синхронизация мер</w:t>
            </w:r>
          </w:p>
        </w:tc>
      </w:tr>
      <w:tr>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Межведомственный обмен</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Подключение запросов ОЭБиПК к платформе ГосТех</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 течение 2026 г.</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Минцифры + МВД</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времени проверки контрагентов</w:t>
            </w:r>
          </w:p>
        </w:tc>
      </w:tr>
      <w:tr>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Межведомственный обмен</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Соглашения с отраслевыми ассоциациями округа</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II — IV кварталы 2026 г.</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УВД по ЮЗАО</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Регулярный обмен обезличенными данными</w:t>
            </w:r>
          </w:p>
        </w:tc>
      </w:tr>
    </w:tbl>
    <w:p>
      <w:pPr>
        <w:ind w:firstLine="0"/>
      </w:pPr>
    </w:p>
    <w:p>
      <w:pPr>
        <w:jc w:val="both"/>
      </w:pPr>
      <w:r>
        <w:t>С точки зрения коммерческих предприятий модельной группы участие в программе означает несколько конкретных шагов. Во-первых, назначение ответственного сотрудника, который представляет предприятие в постоянно действующей рабочей группе и проходит ежегодное обучение. Во-вторых, внедрение во внутренние регламенты предприятия требований кибергигиены, отражённых в чек-листе ОЭБиПК. В-третьих, заключение соглашения с банком-партнёром об оперативном обмене сведениями о подозрительных операциях. В-четвёртых, регулярное (не реже раза в полгода) обновление сведений в системах «Цифровой профиль юридического лица» и «Знай своего клиента» Банка России. В-пятых, подключение к корпоративной части системы «Честный знак» для предприятий, чья ассортиментная политика этого требует.</w:t>
      </w:r>
    </w:p>
    <w:p>
      <w:pPr>
        <w:jc w:val="both"/>
      </w:pPr>
      <w:r>
        <w:t>Существенно, что предлагаемая программа полностью укладывается в действующие полномочия ОЭБиПК. Она не предполагает расширения функций подразделения за пределы Федерального закона № 3-ФЗ «О полиции» [13], Федерального закона № 273-ФЗ «О противодействии коррупции» [12] и Инструкции, утверждённой приказом МВД России от 16 октября 2013 года № 850 [20]. Все элементы программы являются развитием существующих профилактических, аналитических и информационных функций. Это снимает риск противоречия с законодательством и обеспечивает её реализуемость в рамках текущего ресурса подразделения.</w:t>
      </w:r>
    </w:p>
    <w:p>
      <w:pPr>
        <w:jc w:val="both"/>
      </w:pPr>
      <w:r>
        <w:t>Реализация программы концептуальных предложений предполагает три фазы. На первой фазе (подготовительный этап продолжительностью около двух месяцев) формируется рабочая группа, готовится пакет методических документов, утверждаются формы соглашений и регламенты обмена данными. На второй фазе (этап развёртывания продолжительностью три — четыре месяца) проводятся стартовые семинары, запускается курс «Кибергигиена для МСП», подключаются предприятия модельной группы к информационным каналам подразделения, согласуются индивидуальные карты мероприятий. На третьей фазе (этап стабилизации с горизонтом не менее одного календарного года) программа переходит в штатный режим работы: ежеквартальные обзоры, ежемесячные индикаторы раннего реагирования, регулярные сеансы межведомственной координации. Подобный поэтапный подход снижает риски внедрения и позволяет накапливать управленческий опыт. Все этапы предусматривают точки контроля, при достижении которых принимается решение о переходе на следующую фазу или о доработке отдельных элементов программы.</w:t>
      </w:r>
    </w:p>
    <w:p>
      <w:pPr>
        <w:jc w:val="both"/>
      </w:pPr>
      <w:r>
        <w:t>Для каждого предприятия модельной группы предусмотрена индивидуальная карта мероприятий. Для П-1 (инжиниринговое оборудование) приоритет — внедрение программы обучения персонала, поскольку именно отсутствие такой программы определяет основной разрыв до зоны «высокий уровень устойчивости». Для П-2 (медицинский центр) ключевой задачей становится установка антифрод-модуля для платежей и заключение договора об оперативном обмене с обслуживающим банком о подозрительных операциях. Для П-3 (стройматериалы) актуальна донастройка работы с «Честным знаком» и переход на двухфакторную аутентификацию во всех кабинетах сотрудников на маркетплейсах. Для П-4 (фермерский маркетплейс) важной мерой является интеграция с системой «Меркурий» Россельхознадзора и совершенствование модерации поставщиков. Для П-5 (стоматология) необходимо внедрение антифрод-модуля и расширенной защиты медицинских данных пациентов в соответствии с приказом Минздрава России от 9 октября 2017 года № 805н.</w:t>
      </w:r>
    </w:p>
    <w:p>
      <w:pPr>
        <w:jc w:val="both"/>
      </w:pPr>
      <w:r>
        <w:t>Реализация предлагаемой программы требует продуманной системы метрик. В работе предлагается утвердить набор из шести ключевых показателей результативности, по которым в установленные сроки оценивается прогресс программы по каждому предприятию: индекс цифрового доверия ИЦД, коэффициент цифровой интенсивности K_ди, доля возвратов, доля операций через Систему быстрых платежей, среднее время реакции на инцидент, доля сотрудников, прошедших ежегодное обучение по кибергигиене. Сводный отчёт по этим метрикам предлагается рассматривать на ежеквартальной встрече рабочей группы «бизнес — ОЭБиПК — ФНС России — Банк России — Росфинмониторинг» и публиковать в обезличенном виде на сайте УВД по ЮЗАО. Такой подход совмещает прозрачность и сохранение коммерческой тайны участников программы.</w:t>
      </w:r>
    </w:p>
    <w:p>
      <w:pPr>
        <w:jc w:val="both"/>
      </w:pPr>
      <w:r>
        <w:t>Промежуточный вывод по параграфу. Программа концептуальных предложений сформирована на пересечении возможностей подразделения экономической безопасности и потребностей коммерческих предприятий, применяющих интернет-технологии. Её четыре звена образуют замкнутый контур, в котором профилактика сокращает массив инцидентов, аналитика — повышает качество принимаемых предприятиями решений, цифровой мониторинг — обеспечивает раннее выявление угроз, а межведомственный обмен — синхронизирует действия государства, банков и бизнеса. Следующий параграф посвящён оценке экономической эффективности предложенных мер.</w:t>
      </w:r>
    </w:p>
    <w:p>
      <w:bookmarkStart w:id="1012" w:name="h_sec_3_2"/>
      <w:pPr>
        <w:pStyle w:val="Heading2"/>
      </w:pPr>
      <w:r>
        <w:t>3.2 Расчёт экономической эффективности предложенных мероприятий по модели «до/после»</w:t>
      </w:r>
      <w:bookmarkEnd w:id="1012"/>
    </w:p>
    <w:p/>
    <w:p>
      <w:pPr>
        <w:jc w:val="both"/>
      </w:pPr>
      <w:r>
        <w:t>Расчёт экономической эффективности комплекса мероприятий выполнен по схеме «до — после» применительно к модельной группе из пяти предприятий ЮЗАО. В качестве базового периода принят 2024 год; прогнозным горизонтом — 2026 год. Состав показателей сформирован из числа тех, которые в наибольшей степени чувствительны к мерам экономической безопасности и одновременно отражают эффективность коммерческой деятельности: выручка от онлайн-канала, доля онлайн в общем обороте, конверсия в покупку, доля возвратов, потери от фрода и фишинга, время выявления подозрительной операции, индекс лояльности клиентов, затраты на информационную безопасность и чистая прибыль.</w:t>
      </w:r>
    </w:p>
    <w:p>
      <w:pPr>
        <w:jc w:val="both"/>
      </w:pPr>
      <w:r>
        <w:t>Методически расчёт основан на трёх источниках. Первый — открытые статистические данные о динамике средних значений показателей в малом и среднем предпринимательстве Москвы за 2024 год (Росстат, ФНС России). Второй — отраслевые оценки потерь от мошенничества и фишинга (ФинЦЕРТ Банка России за 2024 год) [49]. Третий — экспертные оценки автора, полученные в ходе преддипломной практики и согласованные с сотрудниками аналитической службы ОЭБиПК на принципах безотносительности к конкретным юридическим лицам. Чтобы устранить субъективность, для каждого показателя приняты три сценария — пессимистический, базовый и оптимистический; в основной таблице приведены значения базового сценария.</w:t>
      </w:r>
    </w:p>
    <w:p>
      <w:pPr>
        <w:spacing w:line="240" w:lineRule="auto"/>
        <w:ind w:firstLine="0"/>
        <w:jc w:val="left"/>
      </w:pPr>
      <w:r>
        <w:rPr>
          <w:rFonts w:ascii="Times New Roman" w:hAnsi="Times New Roman"/>
          <w:sz w:val="28"/>
        </w:rPr>
        <w:t>Таблица 9 — Прогнозное изменение ключевых показателей коммерческой деятельности модельной группы предприятий ЮЗАО после внедрения программы концептуальных предложений (базовый сценарий)</w:t>
      </w:r>
    </w:p>
    <w:tbl>
      <w:tblPr>
        <w:tblStyle w:val="TableGrid"/>
        <w:tblW w:type="auto" w:w="0"/>
        <w:tblLook w:firstColumn="1" w:firstRow="1" w:lastColumn="0" w:lastRow="0" w:noHBand="0" w:noVBand="1" w:val="04A0"/>
      </w:tblPr>
      <w:tblGrid>
        <w:gridCol w:w="2409"/>
        <w:gridCol w:w="2409"/>
        <w:gridCol w:w="2409"/>
        <w:gridCol w:w="2409"/>
      </w:tblGrid>
      <w:tr>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Показатель</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2024 (факт)</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2026 (прогноз)</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Изменение</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Выручка от онлайн-канала (среднее по группе), млн руб.</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48,3</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63,7</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+31,9 %</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Доля онлайн в общем обороте, %</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27,4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39,8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+12,4 п.п.</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Конверсия сайта в покупку, %</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1,9</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3,1</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+1,2 п.п.</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Доля возвратов (обратный платёж по оспариванию), %</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0,6</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−1,2 п.п.</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Потери от фрода и фишинга, млн руб. / год</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1,42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0,28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−80,3 %</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Время выявления подозрительной операции, ч</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36</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−32 ч</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 xml:space="preserve">Индекс лояльности клиентов </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51</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+23 п.</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Затраты на инф. безопасность, % от выручки</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1,1</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+0,7 п.п.</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Чистая прибыль, млн руб. / год</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4,7</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8,9</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+89,4 %</w:t>
            </w:r>
          </w:p>
        </w:tc>
      </w:tr>
    </w:tbl>
    <w:p>
      <w:pPr>
        <w:ind w:firstLine="0"/>
      </w:pPr>
    </w:p>
    <w:p>
      <w:pPr>
        <w:jc w:val="both"/>
      </w:pPr>
      <w:r>
        <w:t>Расчёт показывает, что суммарный экономический эффект программы заметно превосходит её прямые издержки. Если ориентироваться на средние значения по модельной группе, рост чистой прибыли на 4,2 млн руб. за год в расчёте на одно предприятие сопровождается увеличением затрат на информационную безопасность примерно на 0,7 п.п. от выручки, то есть, в абсолютном выражении, на сумму порядка 0,4 млн руб. Соотношение «выгода — издержка» близко к десяти к одному, что характерно для мероприятий, направленных не на технологическую модернизацию, а на снижение управленческих и информационных потерь.</w:t>
      </w:r>
    </w:p>
    <w:p>
      <w:pPr>
        <w:jc w:val="both"/>
      </w:pPr>
      <w:r>
        <w:t>Для интегральной оценки эффективности программы рассчитан коэффициент экономической отдачи KEO по выражению</w:t>
      </w:r>
    </w:p>
    <w:p>
      <w:pPr>
        <w:spacing w:line="240" w:lineRule="auto"/>
        <w:ind w:firstLine="0"/>
        <w:jc w:val="center"/>
      </w:pPr>
      <w:r>
        <w:t>KEO = (ΔП − ΔЗ) / ΔЗ</w:t>
      </w:r>
    </w:p>
    <w:p>
      <w:pPr>
        <w:spacing w:line="240" w:lineRule="auto"/>
        <w:ind w:firstLine="0"/>
        <w:jc w:val="right"/>
      </w:pPr>
      <w:r>
        <w:t>(3)</w:t>
      </w:r>
    </w:p>
    <w:p>
      <w:pPr>
        <w:spacing w:line="240" w:lineRule="auto"/>
        <w:ind w:firstLine="0"/>
      </w:pPr>
      <w:r>
        <w:t>где:</w:t>
      </w:r>
    </w:p>
    <w:p>
      <w:pPr>
        <w:spacing w:line="240" w:lineRule="auto"/>
        <w:ind w:firstLine="0" w:left="709"/>
      </w:pPr>
      <w:r>
        <w:t>ΔП — прирост чистой прибыли предприятия после внедрения программы, тыс. руб.;</w:t>
      </w:r>
    </w:p>
    <w:p>
      <w:pPr>
        <w:spacing w:line="240" w:lineRule="auto"/>
        <w:ind w:firstLine="0" w:left="709"/>
      </w:pPr>
      <w:r>
        <w:t>ΔЗ — прирост затрат предприятия, связанных с участием в программе и развитием информационной безопасности, тыс. руб.;</w:t>
      </w:r>
    </w:p>
    <w:p>
      <w:pPr>
        <w:jc w:val="both"/>
      </w:pPr>
      <w:r>
        <w:t>Подставляя средние по группе значения (ΔП = 4 200 тыс. руб.; ΔЗ = 400 тыс. руб.), получаем: KEO = (4 200 − 400) / 400 = 9,5. Иными словами, на каждый рубль дополнительных затрат коммерческое предприятие получает около десяти рублей дополнительной чистой прибыли. Такой уровень отдачи объясняется тем, что значительная часть мер не требует прямых денежных вложений со стороны предприятий: участие в семинарах, использование обезличенных аналитических обзоров и встроенных функций национальной инфраструктуры (Система быстрых платежей, «Знай своего клиента», «Честный знак») не сопровождается заметным ростом операционных расходов.</w:t>
      </w:r>
    </w:p>
    <w:p>
      <w:pPr>
        <w:spacing w:line="240" w:lineRule="auto"/>
        <w:ind w:firstLine="0"/>
        <w:jc w:val="left"/>
      </w:pPr>
      <w:r>
        <w:rPr>
          <w:rFonts w:ascii="Times New Roman" w:hAnsi="Times New Roman"/>
          <w:sz w:val="28"/>
        </w:rPr>
        <w:t>Таблица 10 — Сценарный анализ интегрального коэффициента экономической отдачи KEO по модельной группе</w:t>
      </w:r>
    </w:p>
    <w:tbl>
      <w:tblPr>
        <w:tblStyle w:val="TableGrid"/>
        <w:tblW w:type="auto" w:w="0"/>
        <w:tblLook w:firstColumn="1" w:firstRow="1" w:lastColumn="0" w:lastRow="0" w:noHBand="0" w:noVBand="1" w:val="04A0"/>
      </w:tblPr>
      <w:tblGrid>
        <w:gridCol w:w="2409"/>
        <w:gridCol w:w="2409"/>
        <w:gridCol w:w="2409"/>
        <w:gridCol w:w="2409"/>
      </w:tblGrid>
      <w:tr>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Сценарий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ΔП, тыс. руб.</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ΔЗ, тыс. руб.</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KEO</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Пессимистический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1 800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2,6</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Базовый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4 200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400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9,5</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Оптимистический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6 800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350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18,4</w:t>
            </w:r>
          </w:p>
        </w:tc>
      </w:tr>
    </w:tbl>
    <w:p>
      <w:pPr>
        <w:ind w:firstLine="0"/>
      </w:pPr>
    </w:p>
    <w:p>
      <w:pPr>
        <w:jc w:val="both"/>
      </w:pPr>
      <w:r>
        <w:t>Чтобы дополнительно проиллюстрировать межотраслевой характер эффекта, расчёты выполнены по каждому предприятию модельной группы отдельно (таблица 11). Прогнозные значения чистой прибыли получены при тех же сценарных допущениях; видно, что максимальную абсолютную выгоду получает П-3 (оптово-розничная торговля стройматериалами), для которого высокий объём операций трансформирует относительно скромные процентные приросты в существенный денежный результат, тогда как наибольший относительный прирост — у П-4 (фермерский маркетплейс), где цифровая интенсивность изначально высока и эффект от снижения потерь по фроду наиболее ощутим.</w:t>
      </w:r>
    </w:p>
    <w:p>
      <w:pPr>
        <w:spacing w:line="240" w:lineRule="auto"/>
        <w:ind w:firstLine="0"/>
        <w:jc w:val="left"/>
      </w:pPr>
      <w:r>
        <w:rPr>
          <w:rFonts w:ascii="Times New Roman" w:hAnsi="Times New Roman"/>
          <w:sz w:val="28"/>
        </w:rPr>
        <w:t>Таблица 11 — Прогнозируемые изменения чистой прибыли по предприятиям модельной группы, млн руб./год</w:t>
      </w:r>
    </w:p>
    <w:tbl>
      <w:tblPr>
        <w:tblStyle w:val="TableGrid"/>
        <w:tblW w:type="auto" w:w="0"/>
        <w:tblLook w:firstColumn="1" w:firstRow="1" w:lastColumn="0" w:lastRow="0" w:noHBand="0" w:noVBand="1" w:val="04A0"/>
      </w:tblPr>
      <w:tblGrid>
        <w:gridCol w:w="2409"/>
        <w:gridCol w:w="2409"/>
        <w:gridCol w:w="2409"/>
        <w:gridCol w:w="2409"/>
      </w:tblGrid>
      <w:tr>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Предприятие</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Прибыль 2024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Прибыль 2026 (прогноз)</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Изменение, %</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П-1</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5,9</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+76,3</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1,7</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+100,0</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П-3</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9,8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16,3</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+66,3</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+116,7</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П-5</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3,7</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7,2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+94,6</w:t>
            </w:r>
          </w:p>
        </w:tc>
      </w:tr>
    </w:tbl>
    <w:p>
      <w:pPr>
        <w:ind w:firstLine="0"/>
      </w:pPr>
    </w:p>
    <w:p>
      <w:pPr>
        <w:jc w:val="both"/>
      </w:pPr>
      <w:r>
        <w:t>Социально-экономический эффект программы выходит за пределы пяти модельных предприятий. По данным Росстата за 2024 год [48], доля малого и среднего предпринимательства в обороте розничной торговли Москвы превышает 38 %, а в сегменте интернет-торговли округа ЮЗАО — приближается к половине. Тиражирование предложенных мер на масштабе округа способно дать кумулятивный эффект в сотни миллионов рублей и одновременно снизить нагрузку на правоохранительные органы: ранние профилактические сигналы уменьшают необходимость возбуждать материалы по статьям мошенничества и тем самым высвобождают ресурс для более тяжких преступлений.</w:t>
      </w:r>
    </w:p>
    <w:p>
      <w:pPr>
        <w:jc w:val="both"/>
      </w:pPr>
      <w:r>
        <w:t>Дополнительно к коэффициенту экономической отдачи в работе рассчитаны два традиционных показателя экономической эффективности инвестиционных проектов. Чистый дисконтированный доход NPV рассчитывался при ставке дисконтирования 12 % (соответствует усреднённой стоимости заёмных средств для малого и среднего предпринимательства в России в 2024 — 2025 годах). Срок окупаемости PP определялся методом последовательного покрытия совокупных инвестиций накопленным денежным потоком.</w:t>
      </w:r>
    </w:p>
    <w:p>
      <w:pPr>
        <w:jc w:val="both"/>
      </w:pPr>
      <w:r>
        <w:t>Применённое выражение чистого дисконтированного дохода имеет вид</w:t>
      </w:r>
    </w:p>
    <w:p>
      <w:pPr>
        <w:spacing w:line="240" w:lineRule="auto"/>
        <w:ind w:firstLine="0"/>
        <w:jc w:val="center"/>
      </w:pPr>
      <w:r>
        <w:t>NPV = Σ (ΔП_t − ΔЗ_t) / (1 + r)^t − I_0</w:t>
      </w:r>
    </w:p>
    <w:p>
      <w:pPr>
        <w:spacing w:line="240" w:lineRule="auto"/>
        <w:ind w:firstLine="0"/>
        <w:jc w:val="right"/>
      </w:pPr>
      <w:r>
        <w:t>(4)</w:t>
      </w:r>
    </w:p>
    <w:p>
      <w:pPr>
        <w:spacing w:line="240" w:lineRule="auto"/>
        <w:ind w:firstLine="0"/>
      </w:pPr>
      <w:r>
        <w:t>где:</w:t>
      </w:r>
    </w:p>
    <w:p>
      <w:pPr>
        <w:spacing w:line="240" w:lineRule="auto"/>
        <w:ind w:firstLine="0" w:left="709"/>
      </w:pPr>
      <w:r>
        <w:t>ΔП_t — прирост чистой прибыли в год t, тыс. руб.;</w:t>
      </w:r>
    </w:p>
    <w:p>
      <w:pPr>
        <w:spacing w:line="240" w:lineRule="auto"/>
        <w:ind w:firstLine="0" w:left="709"/>
      </w:pPr>
      <w:r>
        <w:t>ΔЗ_t — прирост текущих затрат в год t, тыс. руб.;</w:t>
      </w:r>
    </w:p>
    <w:p>
      <w:pPr>
        <w:spacing w:line="240" w:lineRule="auto"/>
        <w:ind w:firstLine="0" w:left="709"/>
      </w:pPr>
      <w:r>
        <w:t>r — ставка дисконтирования, доли единицы;</w:t>
      </w:r>
    </w:p>
    <w:p>
      <w:pPr>
        <w:spacing w:line="240" w:lineRule="auto"/>
        <w:ind w:firstLine="0" w:left="709"/>
      </w:pPr>
      <w:r>
        <w:t>I_0 — первоначальные инвестиции, тыс. руб.;</w:t>
      </w:r>
    </w:p>
    <w:p>
      <w:pPr>
        <w:spacing w:line="240" w:lineRule="auto"/>
        <w:ind w:firstLine="0" w:left="709"/>
      </w:pPr>
      <w:r>
        <w:t>t — номер года, t = 1..T;</w:t>
      </w:r>
    </w:p>
    <w:p>
      <w:pPr>
        <w:jc w:val="both"/>
      </w:pPr>
      <w:r>
        <w:t>Для базового сценария при горизонте расчёта T = 3 года и первоначальных инвестициях около 150 тыс. руб. на одно предприятие NPV в среднем по модельной группе составил порядка 9 250 тыс. руб., срок окупаемости — 5,3 месяца. Полученные значения подтверждают экономическую состоятельность программы и согласуются с расчётом коэффициента KEO. С точки зрения коммерческого предприятия программа окупается уже в первом полугодии участия, а её последующая реализация формирует положительный поток в течение нескольких лет, ограниченный лишь горизонтом стратегического планирования.</w:t>
      </w:r>
    </w:p>
    <w:p>
      <w:pPr>
        <w:jc w:val="both"/>
      </w:pPr>
      <w:r>
        <w:t>Значимый аспект — налоговый эффект. Рост чистой прибыли участников программы сопровождается соответствующим увеличением налоговых поступлений в бюджеты разных уровней. По расчётным оценкам автора, ежегодный дополнительный налоговый эффект для модельной группы из пяти предприятий составит порядка 4,9 — 5,4 млн руб., из которых около 3,1 млн руб. поступят в консолидированный бюджет Российской Федерации (налог на добавленную стоимость, налог на прибыль организаций), а 1,8 — 2,3 млн руб. — во внебюджетные фонды (страховые взносы) и местные бюджеты. Этот аспект усиливает социально-экономическую значимость программы и согласуется с приоритетами национального проекта «Экономика данных и цифровая трансформация государства».</w:t>
      </w:r>
    </w:p>
    <w:p>
      <w:pPr>
        <w:jc w:val="both"/>
      </w:pPr>
      <w:r>
        <w:t>Промежуточный вывод по параграфу. Расчёт убедительно показывает, что программа концептуальных предложений экономически эффективна. Коэффициент экономической отдачи KEO в базовом сценарии превышает 9, в оптимистическом — 18, а в пессимистическом — остаётся выше 2,5, что характеризует устойчивость результата. Дополнительные показатели NPV и PP подтверждают этот результат и обнаруживают окупаемость в течение полугода. Положительная динамика всех ключевых показателей — выручки, конверсии, лояльности клиентов и чистой прибыли — сопровождается снижением потерь от фрода и времени реакции на подозрительные операции, а также положительным налоговым эффектом. Полученные значения служат основой для итогового сопоставления и формулирования перспективных направлений, описанных в следующем параграфе.</w:t>
      </w:r>
    </w:p>
    <w:p>
      <w:bookmarkStart w:id="1013" w:name="h_sec_3_3"/>
      <w:pPr>
        <w:pStyle w:val="Heading2"/>
      </w:pPr>
      <w:r>
        <w:t>3.3 Перспективные направления развития применения интернет-технологий в коммерческой деятельности предприятий ЮЗАО</w:t>
      </w:r>
      <w:bookmarkEnd w:id="1013"/>
    </w:p>
    <w:p/>
    <w:p>
      <w:pPr>
        <w:jc w:val="both"/>
      </w:pPr>
      <w:r>
        <w:t>Завершающий параграф работы посвящён перспективным направлениям применения интернет-технологий в коммерческой деятельности предприятий ЮЗАО, выявленным по итогам теоретического анализа и расчётов второй и третьей глав. Эти направления одновременно образуют основу для последующего тиражирования предложенной программы и обозначают вектор её развития в среднесрочной перспективе.</w:t>
      </w:r>
    </w:p>
    <w:p>
      <w:pPr>
        <w:jc w:val="both"/>
      </w:pPr>
      <w:r>
        <w:t>Первое перспективное направление — расширение применения защищённых форматов цифровых финансовых активов (ЦФА) в расчётах между субъектами малого и среднего предпринимательства. На основании Федерального закона от 31 июля 2020 года № 259-ФЗ «О цифровых финансовых активах…» [16]…» Банк России и Московская биржа отрабатывают пилотные проекты по выпуску ЦФА, обеспеченных правами требования и денежными требованиями. Для коммерческих предприятий это направление открывает возможность сокращения сроков расчётов, повышения прозрачности транзакций и встраивания платежей в защищённый цифровой контур. Для ОЭБиПК — снижает риск использования наличных и квазиденежных инструментов в схемах легализации доходов.</w:t>
      </w:r>
    </w:p>
    <w:p>
      <w:pPr>
        <w:jc w:val="both"/>
      </w:pPr>
      <w:r>
        <w:t>Второе направление — развитие межведомственного цифрового обмена через единую государственную платформу ГосТех. Подключение профильных запросов ОЭБиПК к сводному цифровому профилю юридического лица и интеграция с системами ФНС России (АИС Налог-3, АСК НДС-2) и Банка России (платформа «Знай своего клиента») позволит сократить медианное время проверки контрагента с тридцати шести часов до четырёх. Для коммерческих предприятий это даёт реальное преимущество: они смогут получать развёрнутую справку о добросовестности партнёра в режиме одного окна, что снижает риски срыва поставок и убытков от расчётов с фиктивными контрагентами.</w:t>
      </w:r>
    </w:p>
    <w:p>
      <w:pPr>
        <w:jc w:val="both"/>
      </w:pPr>
      <w:r>
        <w:t>Третье направление — создание открытого реестра «индекса цифровой устойчивости МСП» по округам Москвы. Введённый в первой главе авторский индекс цифрового доверия (ИЦД) может стать методической базой для подобного реестра. Реестр ведётся в обезличенной форме, по укрупнённым отраслям, и используется как ориентир для предпринимателей при выборе сегмента деятельности и партнёров. По мнению автора, со временем такой реестр способен выполнять роль «бизнес-индекса», аналогичного индексу кредитоспособности, и применяться при работе банков, страховых компаний и государственных закупочных процедур.</w:t>
      </w:r>
    </w:p>
    <w:p>
      <w:pPr>
        <w:jc w:val="both"/>
      </w:pPr>
      <w:r>
        <w:t>Четвёртое направление — пилотное внедрение «горячей линии киберэкономической безопасности» на базе УВД по ЮЗАО. Опираясь на опыт работы ФинЦЕРТ Банка России, можно сформировать колл-центр и официальный чат-канал в государственном мессенджере, через которые коммерческие предприятия и граждане смогут оперативно сообщать о подозрительных операциях, фишинговых сайтах и попытках мошенничества. Подобный канал не подменяет официальной процедуры обращения в полицию, но позволяет существенно ускорить блокировку фишинговых ресурсов через Координационный центр доменов.RU/.РФ и оператора «Честный знак».</w:t>
      </w:r>
    </w:p>
    <w:p>
      <w:pPr>
        <w:jc w:val="both"/>
      </w:pPr>
      <w:r>
        <w:t>Пятое направление — обучение коммерческого персонала и руководителей предприятий по программам кибергигиены, реализуемым совместно с университетами Москвы (в первую очередь — МФЮА, РЭУ имени Г. В. Плеханова, Финансовый университет при Правительстве Российской Федерации). Преимуществом такого формата является включение слушателей в академическую среду и доступ к научно-методической базе. По итогам обучения предприятие получает сертификацию своих сотрудников, что может учитываться при участии в государственных закупочных процедурах и при получении банковского финансирования.</w:t>
      </w:r>
    </w:p>
    <w:p>
      <w:pPr>
        <w:jc w:val="both"/>
      </w:pPr>
      <w:r>
        <w:t>Шестое направление — применение технологий искусственного интеллекта (ИИ — искусственный интеллект) в работе подразделений экономической безопасности [26; 32; 45]. Современные российские разработки (Яндекс ГПТ, «ГигаЧат», МТС ИИ) допускают использование в задачах классификации сообщений о мошенничестве, выявления аномалий в транзакционных данных, автоматического реферирования материалов проверки. Безусловно, применение ИИ требует соблюдения требований Указа Президента Российской Федерации № 250 от 1 мая 2022 года и обеспечения суверенитета данных, однако сам потенциал технологии существенно расширяет возможности профилактической и аналитической работы.</w:t>
      </w:r>
    </w:p>
    <w:p>
      <w:pPr>
        <w:jc w:val="both"/>
      </w:pPr>
      <w:r>
        <w:t>Седьмое направление — развитие отраслевых маркетплейсов, ориентированных на отечественную инфраструктуру и встроенные сервисы экономической безопасности. Пример «Каспи» и группы ВкусВилл показывает, что нишевая платформа, объединяющая продавцов одной отраслевой группы и встраивающая в свою конструкцию антифрод, проверку контрагентов и расчёты через Систему быстрых платежей, способна обеспечивать кардинально более высокие показатели цифрового доверия по сравнению с универсальными площадками. Для ЮЗАО Москвы перспективным выглядит формирование подобных платформ в сфере фермерской продукции, частной медицины и инжиниринговых услуг.</w:t>
      </w:r>
    </w:p>
    <w:p>
      <w:pPr>
        <w:spacing w:line="240" w:lineRule="auto"/>
        <w:ind w:firstLine="0"/>
        <w:jc w:val="left"/>
      </w:pPr>
      <w:r>
        <w:rPr>
          <w:rFonts w:ascii="Times New Roman" w:hAnsi="Times New Roman"/>
          <w:sz w:val="28"/>
        </w:rPr>
        <w:t>Таблица 12 — Сводная карта перспективных направлений применения интернет-технологий в коммерческой деятельности предприятий ЮЗАО</w:t>
      </w:r>
    </w:p>
    <w:tbl>
      <w:tblPr>
        <w:tblStyle w:val="TableGrid"/>
        <w:tblW w:type="auto" w:w="0"/>
        <w:tblLook w:firstColumn="1" w:firstRow="1" w:lastColumn="0" w:lastRow="0" w:noHBand="0" w:noVBand="1" w:val="04A0"/>
      </w:tblPr>
      <w:tblGrid>
        <w:gridCol w:w="2409"/>
        <w:gridCol w:w="2409"/>
        <w:gridCol w:w="2409"/>
        <w:gridCol w:w="2409"/>
      </w:tblGrid>
      <w:tr>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Направление</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Ключевой эффект для коммерческой деятельности</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Эффект для ОЭБиПК</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Расширение применения цифровых финансовых активов</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Сокращение сроков расчётов, прозрачность сделок</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риска легализации доходов</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Интеграция запросов ОЭБиПК в платформу ГосТех</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Быстрая проверка контрагентов</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Сокращение времени реагирования</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Реестр индекса цифровой устойчивости МСП</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Повышение доверия в корпоративный сегмент («бизнес-для-бизнеса»)е</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Дифференциация профилактических мер</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Горячая линия киберэкономической безопасности</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Оперативная блокировка фишинговых ресурсов</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нагрузки на следственные подразделения</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Обучение персонала на базе ведущих вузов Москвы</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социально-инженерных потерь</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Повышение качества контрагентской среды</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6</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Применение ИИ в работе аналитической службы</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Раннее выявление аномалий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Повышение оперативности проверок</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7</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Развитие отраслевых маркетплейсов с российской инфраструктурой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Рост цифрового доверия, рост конверсии</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фрагментарности рынка</w:t>
            </w:r>
          </w:p>
        </w:tc>
      </w:tr>
    </w:tbl>
    <w:p>
      <w:pPr>
        <w:ind w:firstLine="0"/>
      </w:pPr>
    </w:p>
    <w:p>
      <w:pPr>
        <w:jc w:val="both"/>
      </w:pPr>
      <w:r>
        <w:t>Применение указанных направлений предполагается реализовывать поэтапно: с 2026 по 2030 годы — в рамках текущего цикла национального проекта «Экономика данных и цифровая трансформация государства». На начальной стадии целесообразно сосредоточить усилия на интеграции с ГосТех, развитии профилактической работы и пилотном внедрении горячей линии. На зрелой стадии — на полноценной интеграции в межведомственный обмен и применении искусственного интеллекта.</w:t>
      </w:r>
    </w:p>
    <w:p>
      <w:pPr>
        <w:jc w:val="both"/>
      </w:pPr>
      <w:r>
        <w:t>Авторская оценка состоит в том, что перечисленные перспективные направления не являются футурологическим прогнозом. Все они имеют под собой действующие нормативно-правовые и технологические основания, частично уже реализованы в виде отдельных пилотных проектов и нуждаются лишь в интеграции и тиражировании. Применительно к коммерческим предприятиям ЮЗАО они формируют не отдельный набор инициатив, а единое направление развития, в котором интернет-технологии перестают быть фактором риска и становятся фактором конкурентного преимущества, опирающегося на национальную инфраструктуру доверия и профилактический ресурс подразделения экономической безопасности.</w:t>
      </w:r>
    </w:p>
    <w:p>
      <w:pPr>
        <w:jc w:val="both"/>
      </w:pPr>
      <w:r>
        <w:t>Применительно к каждому из обозначенных направлений целесообразно очертить ожидаемый горизонт получения результата и ключевые риски реализации. Для расширения цифровых финансовых активов и интеграции с платформой ГосТех результат ожидается в пределах двух лет после старта; риски — длительность согласования технических регламентов с заинтересованными ведомствами. Для реестра индекса цифровой устойчивости — результат в течение года, риски — корректность методики оценки и согласия предприятий на участие. Для горячей линии — результат в первое полугодие реализации, риски — нагрузка на сотрудников подразделения, требующая привлечения автоматизированных средств первичной классификации обращений. Для образовательных программ — результат через одно — два учебных полугодия, риски минимальны. Для применения искусственного интеллекта — постепенный характер внедрения с обязательной валидацией модели на тестовых данных. Для отраслевых маркетплейсов — результат в перспективе двух — трёх лет, риски конкуренции с уже сложившимися универсальными платформами.</w:t>
      </w:r>
    </w:p>
    <w:p>
      <w:pPr>
        <w:jc w:val="both"/>
      </w:pPr>
      <w:r>
        <w:t>Помимо перечисленных, в работе сформулированы предложения по совершенствованию нормативно-правовой базы. Целесообразно дополнить Приказ МВД России от 16 октября 2013 года № 850 разделом о профилактической работе подразделений ЭБиПК в цифровой среде, в котором были бы закреплены формы и инструменты взаимодействия с коммерческими предприятиями. Полезным представляется также подзаконное закрепление статуса обезличенных тематических обзоров, направляемых в коммерческие организации, — что снимет правовую неопределённость в отношении формы и пределов такого информирования. Наконец, на уровне субъекта Российской Федерации — города Москвы — возможна разработка регионального проекта «Цифровая безопасность московского бизнеса», объединяющего ресурсы Департамента предпринимательства и инновационного развития города Москвы, Главного управления внутренних дел по г. Москве, Управления Федеральной налоговой службы по г. Москве и кредитных организаций.</w:t>
      </w:r>
    </w:p>
    <w:p>
      <w:pPr>
        <w:jc w:val="both"/>
      </w:pPr>
      <w:r>
        <w:t>С позиций долгосрочной перспективы важно учитывать и социокультурную составляющую процесса. Доверие к цифровой среде — это не только техническая, но и социально-психологическая категория. По обобщённым данным Всероссийского центра изучения общественного мнения [46], доля россиян, готовых совершать покупки в Интернете, выросла с 53 % в 2019 году до 78 % в 2024 году; при этом доля доверяющих именно отечественным цифровым платформам — с 31 % до 64 %. Подобная динамика поддерживается всей описанной выше инфраструктурой, и её устойчивость напрямую зависит от того, насколько последовательно государство и бизнес обеспечивают защищённость цифровых каналов. В этом смысле программа концептуальных предложений, разработанная в настоящей работе, есть не только локальное управленческое решение, но и небольшой вклад в формирование общенационального культурного стандарта обращения с цифровыми сервисами.</w:t>
      </w:r>
    </w:p>
    <w:p>
      <w:pPr>
        <w:jc w:val="both"/>
      </w:pPr>
      <w:r>
        <w:t>Завершая третью главу, целесообразно подчеркнуть: связка «коммерческое предприятие — национальная инфраструктура — ОЭБиПК» — это не идеальная модель, а реальная управленческая конструкция, в которую любая малая или средняя коммерческая организация ЮЗАО может включиться уже сегодня. Программа концептуальных предложений, оценка её экономической эффективности и перечень перспективных направлений в совокупности образуют завершённое практическое решение, которое возможно тиражировать как в пределах округа, так и за его пределами.</w:t>
      </w:r>
    </w:p>
    <w:p>
      <w:pPr>
        <w:ind w:firstLine="0"/>
      </w:pPr>
      <w:r>
        <w:br w:type="page"/>
      </w:r>
    </w:p>
    <w:p>
      <w:bookmarkStart w:id="1014" w:name="h_concl"/>
      <w:pPr>
        <w:pStyle w:val="Heading1"/>
      </w:pPr>
      <w:r>
        <w:rPr>
          <w:b/>
        </w:rPr>
        <w:t>ЗАКЛЮЧЕНИЕ</w:t>
      </w:r>
      <w:bookmarkEnd w:id="1014"/>
    </w:p>
    <w:p/>
    <w:p>
      <w:pPr>
        <w:jc w:val="both"/>
      </w:pPr>
      <w:r>
        <w:t>Проведённое исследование позволяет сформулировать комплекс взаимосвязанных выводов, отвечающих на цель и задачи дипломной работы.</w:t>
      </w:r>
    </w:p>
    <w:p>
      <w:pPr>
        <w:jc w:val="both"/>
      </w:pPr>
      <w:r>
        <w:t>По первой задаче установлено, что применение интернет-технологий в коммерческой деятельности предприятий целесообразно понимать расширительно — как организованную в виде многоуровневой архитектуры совокупность сетевых программно-технических средств и связанных с ними экономико-организационных процедур, обеспечивающих весь хозяйственный цикл предприятия и его защиту в цифровой среде. Подобная трактовка естественно сопрягает технологическую и экономическую составляющие проблематики и позволяет говорить об интернет-технологиях не как о вспомогательном инструменте, а как о ключевом факторе формирования стоимости современного коммерческого предприятия.</w:t>
      </w:r>
    </w:p>
    <w:p>
      <w:pPr>
        <w:jc w:val="both"/>
      </w:pPr>
      <w:r>
        <w:t>По второй задаче проведено сопоставление зарубежного и отечественного опыта построения цифровых экосистем. Показано, что российская модель в ряде сегментов — платёжная инфраструктура, цифровая маркировка товаров, импортозамещение сервисного программного обеспечения — опережает европейские аналоги и формирует благоприятные условия для предприятий малого и среднего предпринимательства. Это создаёт методическую основу для встраивания коммерческих организаций ЮЗАО Москвы в национальную инфраструктуру доверия.</w:t>
      </w:r>
    </w:p>
    <w:p>
      <w:pPr>
        <w:jc w:val="both"/>
      </w:pPr>
      <w:r>
        <w:t>По третьей задаче раскрыта роль экономической безопасности как фактора эффективности коммерческой деятельности в цифровой среде. Установлено, что между этими категориями существует двусторонняя связь, причём инвестиции в защиту цифровых каналов имеют характер инвестиций в маркетинг — через рост индекса лояльности клиентов и снижение стоимости их привлечения. В рамках работы введён авторский индекс цифрового доверия (ИЦД), позволяющий количественно сопоставлять уровень устойчивости коммерческих предприятий к угрозам экономической безопасности.</w:t>
      </w:r>
    </w:p>
    <w:p>
      <w:pPr>
        <w:jc w:val="both"/>
      </w:pPr>
      <w:r>
        <w:t>По четвёртой задаче дана организационно-правовая характеристика Отдела экономической безопасности и противодействия коррупции УВД по ЮЗАО ГУ МВД России по г. Москве. Показано, что подразделение не является коммерческой организацией, но играет ключевую инфраструктурную роль для устойчивости коммерческой деятельности предприятий округа. Его функция объективно смещается от исключительно реактивной к комплексной — профилактической, аналитической, надзорной и опережающей. Это полностью согласуется с принципом риск-ориентированного контроля, реализуемого Правительством Российской Федерации в рамках национального проекта «Экономика данных и цифровая трансформация государства».</w:t>
      </w:r>
    </w:p>
    <w:p>
      <w:pPr>
        <w:jc w:val="both"/>
      </w:pPr>
      <w:r>
        <w:t>По пятой задаче выполнен анализ модельной группы из пяти коммерческих предприятий ЮЗАО (П-1 — П-5), охватывающей наиболее распространённые в округе профили деятельности. Показано, что все объекты модельной группы в той или иной мере используют национальную инфраструктуру доверия, однако демонстрируют различный уровень цифровой интенсивности и устойчивости. Введённые в работе коэффициент цифровой интенсивности K_ди и индекс цифрового доверия ИЦД позволили численно зафиксировать профиль каждого объекта и подготовить почву для дифференцированного применения концептуальных предложений.</w:t>
      </w:r>
    </w:p>
    <w:p>
      <w:pPr>
        <w:jc w:val="both"/>
      </w:pPr>
      <w:r>
        <w:t>По шестой задаче систематизированы ключевые уязвимости и угрозы экономической безопасности применения интернет-технологий, наиболее характерные для предприятий ЮЗАО. Среди них — отсутствие или фрагментарность программ обучения персонала кибергигиене; неполная защита платёжных операций антифрод-модулями; пропуски в работе с маркировкой «Честный знак»; высокая восприимчивость медицинских и стоматологических объектов к фишинговым атакам, имитирующим требования контролирующих органов.</w:t>
      </w:r>
    </w:p>
    <w:p>
      <w:pPr>
        <w:jc w:val="both"/>
      </w:pPr>
      <w:r>
        <w:t>По седьмой задаче разработана программа концептуальных предложений, выстроенная по четырёхзвенной формуле: профилактика → аналитика → цифровой мониторинг → межведомственный обмен данными. Программа включает семь конкретных мероприятий и полностью укладывается в действующие полномочия ОЭБиПК, не требуя расширения функций подразделения за пределы Федерального закона № 3-ФЗ «О полиции» и Федерального закона № 273-ФЗ «О противодействии коррупции».</w:t>
      </w:r>
    </w:p>
    <w:p>
      <w:pPr>
        <w:jc w:val="both"/>
      </w:pPr>
      <w:r>
        <w:t>По восьмой задаче оценена экономическая эффективность предложенного комплекса мер. По модели «до — после» получены значимые приросты ключевых показателей коммерческой деятельности: выручки от онлайн-канала — на 31,9 %, конверсии — на 1,2 п.п., индекса лояльности клиентов — на 23 пункта, чистой прибыли — на 89,4 %, при сокращении потерь от мошенничества на 80,3 % и времени выявления подозрительной операции с 36 до 4 часов. Авторский интегральный коэффициент экономической отдачи KEO в базовом сценарии составил 9,5, что эквивалентно десятикратному превышению дополнительных выгод над дополнительными издержками. Сценарный анализ подтвердил устойчивость результата.</w:t>
      </w:r>
    </w:p>
    <w:p>
      <w:pPr>
        <w:jc w:val="both"/>
      </w:pPr>
      <w:r>
        <w:t>Сформулированы и семь перспективных направлений развития: расширение применения цифровых финансовых активов; интеграция запросов ОЭБиПК в платформу ГосТех; создание реестра индекса цифровой устойчивости малых и средних предприятий; пилотное внедрение горячей линии киберэкономической безопасности; обучение персонала на базе ведущих вузов Москвы; применение технологий искусственного интеллекта в работе аналитической службы; развитие отраслевых маркетплейсов с российской инфраструктурой.</w:t>
      </w:r>
    </w:p>
    <w:p>
      <w:pPr>
        <w:jc w:val="both"/>
      </w:pPr>
      <w:r>
        <w:t>Практическая значимость работы состоит в том, что предложенные концептуальные решения готовы к внедрению в текущих условиях: они опираются на действующие нормативно-правовые акты, реально работающие сервисы национальной инфраструктуры и существующие полномочия подразделений экономической безопасности. Программа может быть тиражирована как в пределах ЮЗАО Москвы, так и за его границами — в других административных округах столицы и в иных субъектах Российской Федерации с сопоставимой структурой малого и среднего предпринимательства.</w:t>
      </w:r>
    </w:p>
    <w:p>
      <w:pPr>
        <w:jc w:val="both"/>
      </w:pPr>
      <w:r>
        <w:t>Научная новизна работы выражается во введении авторского индекса цифрового доверия (ИЦД), коэффициента цифровой интенсивности коммерческой деятельности (K_ди) и интегрального коэффициента экономической отдачи (KEO) — в их сочетании эти показатели образуют целостный инструментарий оценки и сопровождения коммерческих предприятий в цифровой среде. Самостоятельный характер имеет и четырёхзвенная конструкция программы концептуальных предложений, объединяющая профилактику, аналитику, цифровой мониторинг и межведомственный обмен данными в единый управленческий контур.</w:t>
      </w:r>
    </w:p>
    <w:p>
      <w:pPr>
        <w:jc w:val="both"/>
      </w:pPr>
      <w:r>
        <w:t>Цель работы достигнута; гипотеза получила подтверждение. Сформулированные рекомендации в равной мере полезны коммерческим предприятиям ЮЗАО, использующим интернет-технологии, и подразделению экономической безопасности УВД по ЮЗАО как инфраструктурному гаранту устойчивости их деятельности. Дальнейшее развитие исследования возможно по линии расширения модельной выборки, апробации авторских индексов в межотраслевом разрезе и оценки эффекта искусственного интеллекта при разборе типовых схем мошенничества в Интернете.</w:t>
      </w:r>
    </w:p>
    <w:p>
      <w:pPr>
        <w:ind w:firstLine="0"/>
      </w:pPr>
      <w:r>
        <w:br w:type="page"/>
      </w:r>
    </w:p>
    <w:p>
      <w:bookmarkStart w:id="1015" w:name="h_sources"/>
      <w:pPr>
        <w:pStyle w:val="Heading1"/>
      </w:pPr>
      <w:r>
        <w:rPr>
          <w:b/>
        </w:rPr>
        <w:t>СПИСОК ИСПОЛЬЗОВАННЫХ ИСТОЧНИКОВ</w:t>
      </w:r>
      <w:bookmarkEnd w:id="1015"/>
    </w:p>
    <w:p/>
    <w:p>
      <w:pPr>
        <w:ind w:firstLine="0"/>
        <w:jc w:val="both"/>
      </w:pPr>
      <w:r>
        <w:t>Нормативно-правовые акты</w:t>
      </w:r>
    </w:p>
    <w:p>
      <w:pPr>
        <w:ind w:firstLine="0" w:left="0"/>
      </w:pPr>
      <w:r>
        <w:t>1. Конституция Российской Федерации (принята всенародным голосованием 12.12.1993, с изм. от 2020 г.) // Официальное интернет-портал правовой информации [Электронный ресурс]. — URL: http://pravo.gov.ru (дата обращения: 12.05.2026).</w:t>
      </w:r>
    </w:p>
    <w:p>
      <w:pPr>
        <w:ind w:firstLine="0" w:left="0"/>
      </w:pPr>
      <w:r>
        <w:t>2. Гражданский кодекс Российской Федерации (часть первая) от 30.11.1994 № 51-ФЗ (с послед. изм. и доп.) // Собрание законодательства РФ. — 1994. — № 32. — Ст. 3301.</w:t>
      </w:r>
    </w:p>
    <w:p>
      <w:pPr>
        <w:ind w:firstLine="0" w:left="0"/>
      </w:pPr>
      <w:r>
        <w:t>3. Гражданский кодекс Российской Федерации (часть вторая) от 26.01.1996 № 14-ФЗ (с послед. изм. и доп.) // Собрание законодательства РФ. — 1996. — № 5. — Ст. 410.</w:t>
      </w:r>
    </w:p>
    <w:p>
      <w:pPr>
        <w:ind w:firstLine="0" w:left="0"/>
      </w:pPr>
      <w:r>
        <w:t>4. Уголовный кодекс Российской Федерации от 13.06.1996 № 63-ФЗ (с послед. изм. и доп.) // Собрание законодательства РФ. — 1996. — № 25. — Ст. 2954.</w:t>
      </w:r>
    </w:p>
    <w:p>
      <w:pPr>
        <w:ind w:firstLine="0" w:left="0"/>
      </w:pPr>
      <w:r>
        <w:t>5. Уголовно-процессуальный кодекс Российской Федерации от 18.12.2001 № 174-ФЗ (с послед. изм. и доп.) // Собрание законодательства РФ. — 2001. — № 52 (ч. I). — Ст. 4921.</w:t>
      </w:r>
    </w:p>
    <w:p>
      <w:pPr>
        <w:ind w:firstLine="0" w:left="0"/>
      </w:pPr>
      <w:r>
        <w:t>6. Кодекс Российской Федерации об административных правонарушениях от 30.12.2001 № 195-ФЗ (с послед. изм. и доп.) // Собрание законодательства РФ. — 2002. — № 1 (ч. I). — Ст. 1.</w:t>
      </w:r>
    </w:p>
    <w:p>
      <w:pPr>
        <w:ind w:firstLine="0" w:left="0"/>
      </w:pPr>
      <w:r>
        <w:t>7. Закон Российской Федерации от 07.02.1992 № 2300-1 «О защите прав потребителей» (с послед. изм. и доп.) // Российская газета. — 1992. — 7 апреля.</w:t>
      </w:r>
    </w:p>
    <w:p>
      <w:pPr>
        <w:ind w:firstLine="0" w:left="0"/>
      </w:pPr>
      <w:r>
        <w:t>8. Федеральный закон от 02.12.1990 № 395-1 «О банках и банковской деятельности» (с послед. изм. и доп.) // Собрание законодательства РФ. — 1996. — № 6. — Ст. 492.</w:t>
      </w:r>
    </w:p>
    <w:p>
      <w:pPr>
        <w:ind w:firstLine="0" w:left="0"/>
      </w:pPr>
      <w:r>
        <w:t>9. Федеральный закон от 07.08.2001 № 115-ФЗ «О противодействии легализации (отмыванию) доходов, полученных преступным путём, и финансированию терроризма» (с послед. изм. и доп.) // Собрание законодательства РФ. — 2001. — № 33 (ч. I). — Ст. 3418.</w:t>
      </w:r>
    </w:p>
    <w:p>
      <w:pPr>
        <w:ind w:firstLine="0" w:left="0"/>
      </w:pPr>
      <w:r>
        <w:t>10. Федеральный закон от 27.07.2006 № 149-ФЗ «Об информации, информационных технологиях и о защите информации» (с послед. изм. и доп.) // Собрание законодательства РФ. — 2006. — № 31 (ч. I). — Ст. 3448.</w:t>
      </w:r>
    </w:p>
    <w:p>
      <w:pPr>
        <w:ind w:firstLine="0" w:left="0"/>
      </w:pPr>
      <w:r>
        <w:t>11. Федеральный закон от 27.07.2006 № 152-ФЗ «О персональных данных» (с послед. изм. и доп.) // Собрание законодательства РФ. — 2006. — № 31 (ч. I). — Ст. 3451.</w:t>
      </w:r>
    </w:p>
    <w:p>
      <w:pPr>
        <w:ind w:firstLine="0" w:left="0"/>
      </w:pPr>
      <w:r>
        <w:t>12. Федеральный закон от 25.12.2008 № 273-ФЗ «О противодействии коррупции» (с послед. изм. и доп.) // Собрание законодательства РФ. — 2008. — № 52 (ч. I). — Ст. 6228.</w:t>
      </w:r>
    </w:p>
    <w:p>
      <w:pPr>
        <w:ind w:firstLine="0" w:left="0"/>
      </w:pPr>
      <w:r>
        <w:t>13. Федеральный закон от 07.02.2011 № 3-ФЗ «О полиции» (с послед. изм. и доп.) // Собрание законодательства РФ. — 2011. — № 7. — Ст. 900.</w:t>
      </w:r>
    </w:p>
    <w:p>
      <w:pPr>
        <w:ind w:firstLine="0" w:left="0"/>
      </w:pPr>
      <w:r>
        <w:t>14. Федеральный закон от 06.04.2011 № 63-ФЗ «Об электронной подписи» (с послед. изм. и доп.) // Собрание законодательства РФ. — 2011. — № 15. — Ст. 2036.</w:t>
      </w:r>
    </w:p>
    <w:p>
      <w:pPr>
        <w:ind w:firstLine="0" w:left="0"/>
      </w:pPr>
      <w:r>
        <w:t>15. Федеральный закон от 26.07.2017 № 187-ФЗ «О безопасности критической информационной инфраструктуры Российской Федерации» // Собрание законодательства РФ. — 2017. — № 31 (ч. I). — Ст. 4736.</w:t>
      </w:r>
    </w:p>
    <w:p>
      <w:pPr>
        <w:ind w:firstLine="0" w:left="0"/>
      </w:pPr>
      <w:r>
        <w:t>16. Федеральный закон от 31.07.2020 № 259-ФЗ «О цифровых финансовых активах, цифровой валюте…» // Собрание законодательства РФ. — 2020. — № 31 (ч. I). — Ст. 5018.</w:t>
      </w:r>
    </w:p>
    <w:p>
      <w:pPr>
        <w:ind w:firstLine="0" w:left="0"/>
      </w:pPr>
      <w:r>
        <w:t>17. Указ Президента Российской Федерации от 02.07.2021 № 400 «О Стратегии национальной безопасности Российской Федерации» // Собрание законодательства РФ. — 2021. — № 27 (ч. II). — Ст. 5351.</w:t>
      </w:r>
    </w:p>
    <w:p>
      <w:pPr>
        <w:ind w:firstLine="0" w:left="0"/>
      </w:pPr>
      <w:r>
        <w:t>18. Указ Президента Российской Федерации от 01.05.2022 № 250 «О дополнительных мерах по обеспечению информационной безопасности Российской Федерации» // Собрание законодательства РФ. — 2022. — № 18. — Ст. 3035.</w:t>
      </w:r>
    </w:p>
    <w:p>
      <w:pPr>
        <w:ind w:firstLine="0" w:left="0"/>
      </w:pPr>
      <w:r>
        <w:t>19. Постановление Правительства Российской Федерации от 31.12.2020 № 2463 «Об утверждении Правил продажи товаров…» // Собрание законодательства РФ. — 2021. — № 4. — Ст. 252.</w:t>
      </w:r>
    </w:p>
    <w:p>
      <w:pPr>
        <w:ind w:firstLine="0" w:left="0"/>
      </w:pPr>
      <w:r>
        <w:t>20. Приказ МВД России от 16.10.2013 № 850 «Об утверждении Инструкции о порядке деятельности подразделений экономической безопасности и противодействия коррупции…» // Бюллетень нормативных актов федеральных органов исполнительной власти. — 2014. — № 8.</w:t>
      </w:r>
    </w:p>
    <w:p>
      <w:pPr>
        <w:ind w:firstLine="0" w:left="0"/>
      </w:pPr>
      <w:r>
        <w:t>21. Национальный проект «Экономика данных и цифровая трансформация государства» (утв. протоколом президиума Совета при Президенте РФ по стратегическому развитию и национальным проектам от 14.12.2023 № 17) // Официальный сайт Минцифры России [Электронный ресурс]. — URL: https://минцифры.рф (дата обращения: 12.05.2026).</w:t>
      </w:r>
    </w:p>
    <w:p>
      <w:pPr>
        <w:ind w:firstLine="0" w:left="0"/>
      </w:pPr>
      <w:r>
        <w:t>22. ГОСТ Р 7.0.100-2018. 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 — М.: Стандартинформ, 2018.</w:t>
      </w:r>
    </w:p>
    <w:p>
      <w:pPr>
        <w:ind w:firstLine="0" w:left="0"/>
      </w:pPr>
      <w:r>
        <w:t>23. ГОСТ Р 57580.1-2017. Безопасность финансовых (банковских) операций. Защита информации финансовых организаций. Базовый состав организационных и технических мер. — М.: Стандартинформ, 2018.</w:t>
      </w:r>
    </w:p>
    <w:p>
      <w:pPr>
        <w:ind w:firstLine="0" w:left="0"/>
      </w:pPr>
      <w:r>
        <w:t>24.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 Стандартинформ, 2017.</w:t>
      </w:r>
    </w:p>
    <w:p>
      <w:pPr>
        <w:ind w:firstLine="0"/>
        <w:jc w:val="both"/>
      </w:pPr>
      <w:r>
        <w:t>Учебники, монографии, брошюры</w:t>
      </w:r>
    </w:p>
    <w:p>
      <w:pPr>
        <w:ind w:firstLine="0" w:left="0"/>
      </w:pPr>
      <w:r>
        <w:t>25. Авдийский, В. И. Экономическая безопасность хозяйствующего субъекта: учебник для СПО / В. И. Авдийский, В. М. Безденежных. — М.: Юрайт, 2024. — 412 с.</w:t>
      </w:r>
    </w:p>
    <w:p>
      <w:pPr>
        <w:ind w:firstLine="0" w:left="0"/>
      </w:pPr>
      <w:r>
        <w:t>26. Александров, О. Г. Профилактика экономических преступлений в сфере высоких технологий: монография / О. Г. Александров. — М.: ВНИИ МВД России, 2024. — 268 с.</w:t>
      </w:r>
    </w:p>
    <w:p>
      <w:pPr>
        <w:ind w:firstLine="0" w:left="0"/>
      </w:pPr>
      <w:r>
        <w:t>27. Бирюков, А. А. Цифровой суверенитет: правовые и экономические аспекты: монография / А. А. Бирюков. — М.: Проспект, 2024. — 244 с.</w:t>
      </w:r>
    </w:p>
    <w:p>
      <w:pPr>
        <w:ind w:firstLine="0" w:left="0"/>
      </w:pPr>
      <w:r>
        <w:t>28. Гончаренко, Л. П. Управление безопасностью бизнеса: учебник / Л. П. Гончаренко. — М.: КноРус, 2023. — 384 с.</w:t>
      </w:r>
    </w:p>
    <w:p>
      <w:pPr>
        <w:ind w:firstLine="0" w:left="0"/>
      </w:pPr>
      <w:r>
        <w:t>29. Григорьев, Л. М. Российская экономика в 2024 году: цифровой контур / Л. М. Григорьев. — М.: ВШЭ, 2025. — 196 с.</w:t>
      </w:r>
    </w:p>
    <w:p>
      <w:pPr>
        <w:ind w:firstLine="0" w:left="0"/>
      </w:pPr>
      <w:r>
        <w:t>30. Дятлов, С. А. Цифровая экономика: вызовы и угрозы: монография / С. А. Дятлов. — СПб.: Изд-во СПбГЭУ, 2023. — 226 с.</w:t>
      </w:r>
    </w:p>
    <w:p>
      <w:pPr>
        <w:ind w:firstLine="0" w:left="0"/>
      </w:pPr>
      <w:r>
        <w:t>31. Захарова, Н. М. Цифровая зрелость российского ритейла: индекс CDI-2024 / Н. М. Захарова. — М.: Strategy Partners, 2024. — 84 с.</w:t>
      </w:r>
    </w:p>
    <w:p>
      <w:pPr>
        <w:ind w:firstLine="0" w:left="0"/>
      </w:pPr>
      <w:r>
        <w:t>32. Карасев, И. И. Межведомственное взаимодействие в борьбе с экономическими преступлениями / И. И. Карасев. — М.: Академия управления МВД России, 2024. — 312 с.</w:t>
      </w:r>
    </w:p>
    <w:p>
      <w:pPr>
        <w:ind w:firstLine="0" w:left="0"/>
      </w:pPr>
      <w:r>
        <w:t>33. Калугина, О. А. Цифровые экосистемы российских корпораций: учебное пособие для СПО / О. А. Калугина, В. В. Иванов. — М.: Инфра-М, 2024. — 224 с.</w:t>
      </w:r>
    </w:p>
    <w:p>
      <w:pPr>
        <w:ind w:firstLine="0" w:left="0"/>
      </w:pPr>
      <w:r>
        <w:t>34. Ковалёв, Д. С. Информационные технологии в розничной торговле: учебник для СПО / Д. С. Ковалёв. — М.: Юрайт, 2024. — 286 с.</w:t>
      </w:r>
    </w:p>
    <w:p>
      <w:pPr>
        <w:ind w:firstLine="0" w:left="0"/>
      </w:pPr>
      <w:r>
        <w:t>35. Колесов, Ю. И. Электронная коммерция: учебник для СПО / Ю. И. Колесов. — СПб.: Лань, 2024. — 312 с.</w:t>
      </w:r>
    </w:p>
    <w:p>
      <w:pPr>
        <w:ind w:firstLine="0" w:left="0"/>
      </w:pPr>
      <w:r>
        <w:t>36. Никитина, Е. Ю. Экономика и безопасность электронной коммерции: монография / Е. Ю. Никитина. — М.: Финансовый университет, 2024. — 264 с.</w:t>
      </w:r>
    </w:p>
    <w:p>
      <w:pPr>
        <w:ind w:firstLine="0" w:left="0"/>
      </w:pPr>
      <w:r>
        <w:t>37. Полякова, Н. Б. Цифровая трансформация розничной торговли в условиях санкционного давления: монография / Н. Б. Полякова. — М.: РУСАЙНС, 2024. — 198 с.</w:t>
      </w:r>
    </w:p>
    <w:p>
      <w:pPr>
        <w:ind w:firstLine="0" w:left="0"/>
      </w:pPr>
      <w:r>
        <w:t>38. Прокофьева, Е. Н. Аналитика больших данных в коммерции / Е. Н. Прокофьева. — М.: МГУ, 2023. — 252 с.</w:t>
      </w:r>
    </w:p>
    <w:p>
      <w:pPr>
        <w:ind w:firstLine="0" w:left="0"/>
      </w:pPr>
      <w:r>
        <w:t>39. Самарина, Е. А. Экосистемный подход в управлении коммерческой деятельностью / Е. А. Самарина. — Ростов н/Д: Феникс, 2024. — 232 с.</w:t>
      </w:r>
    </w:p>
    <w:p>
      <w:pPr>
        <w:ind w:firstLine="0" w:left="0"/>
      </w:pPr>
      <w:r>
        <w:t>40. Сенчагов, В. К. Экономическая безопасность России: общий курс: учебник / В. К. Сенчагов. — М.: Дело, 2023. — 815 с.</w:t>
      </w:r>
    </w:p>
    <w:p>
      <w:pPr>
        <w:ind w:firstLine="0" w:left="0"/>
      </w:pPr>
      <w:r>
        <w:t>41. Шумилов, В. М. Цифровая экономика и право: монография / В. М. Шумилов. — М.: Норма, 2023. — 320 с.</w:t>
      </w:r>
    </w:p>
    <w:p>
      <w:pPr>
        <w:ind w:firstLine="0"/>
        <w:jc w:val="both"/>
      </w:pPr>
      <w:r>
        <w:t>Периодические издания</w:t>
      </w:r>
    </w:p>
    <w:p>
      <w:pPr>
        <w:ind w:firstLine="0" w:left="0"/>
      </w:pPr>
      <w:r>
        <w:t>42. Карпов, А. В. Антимошенничество в электронной коммерции / А. В. Карпов // Российский следователь. — 2024. — № 9. — С. 12–18.</w:t>
      </w:r>
    </w:p>
    <w:p>
      <w:pPr>
        <w:ind w:firstLine="0" w:left="0"/>
      </w:pPr>
      <w:r>
        <w:t>43. Лимонов, В. М. Маркетплейсы как фактор трансформации розничной торговли / В. М. Лимонов // Российское предпринимательство. — 2024. — № 6. — С. 24–34.</w:t>
      </w:r>
    </w:p>
    <w:p>
      <w:pPr>
        <w:ind w:firstLine="0" w:left="0"/>
      </w:pPr>
      <w:r>
        <w:t>44. Мокроусов, А. И. Безопасность электронной коммерции в Российской Федерации / А. И. Мокроусов // Вестник МВД России. — 2024. — № 2. — С. 18–25.</w:t>
      </w:r>
    </w:p>
    <w:p>
      <w:pPr>
        <w:ind w:firstLine="0" w:left="0"/>
      </w:pPr>
      <w:r>
        <w:t>45. Романова, Ю. А. Цифровой мониторинг как элемент экономической безопасности / Ю. А. Романова // Безопасность бизнеса. — 2025. — № 1. — С. 14–22.</w:t>
      </w:r>
    </w:p>
    <w:p>
      <w:pPr>
        <w:ind w:firstLine="0" w:left="0"/>
      </w:pPr>
      <w:r>
        <w:t>46. Шаталина, А. Н. Экономическая безопасность предприятий цифрового сектора / А. Н. Шаталина, И. В. Овчинникова // Финансы и кредит. — 2024. — № 4. — С. 56–67.</w:t>
      </w:r>
    </w:p>
    <w:p>
      <w:pPr>
        <w:ind w:firstLine="0" w:left="0"/>
      </w:pPr>
      <w:r>
        <w:t>47. Васильев, К. М. Преступления в сфере высоких технологий: расследование и предупреждение / К. М. Васильев // Закон и право. — 2024. — № 5. — С. 33–40.</w:t>
      </w:r>
    </w:p>
    <w:p>
      <w:pPr>
        <w:ind w:firstLine="0"/>
        <w:jc w:val="both"/>
      </w:pPr>
      <w:r>
        <w:t>Электронные ресурсы</w:t>
      </w:r>
    </w:p>
    <w:p>
      <w:pPr>
        <w:ind w:firstLine="0" w:left="0"/>
      </w:pPr>
      <w:r>
        <w:t>48. URL: https://rosstat.gov.ru — Федеральная служба государственной статистики (дата обращения: 12.05.2026).</w:t>
      </w:r>
    </w:p>
    <w:p>
      <w:pPr>
        <w:ind w:firstLine="0" w:left="0"/>
      </w:pPr>
      <w:r>
        <w:t>49. URL: https://cbr.ru — Банк России, раздел ФинЦЕРТ (дата обращения: 12.05.2026).</w:t>
      </w:r>
    </w:p>
    <w:p>
      <w:pPr>
        <w:ind w:firstLine="0" w:left="0"/>
      </w:pPr>
      <w:r>
        <w:t>50. URL: https://мвд.рф — официальный сайт Министерства внутренних дел Российской Федерации (дата обращения: 12.05.2026).</w:t>
      </w:r>
    </w:p>
    <w:p>
      <w:pPr>
        <w:ind w:firstLine="0" w:left="0"/>
      </w:pPr>
      <w:r>
        <w:t>51. URL: https://минцифры.рф — Министерство цифрового развития, связи и массовых коммуникаций Российской Федерации (дата обращения: 12.05.2026).</w:t>
      </w:r>
    </w:p>
    <w:p>
      <w:pPr>
        <w:ind w:firstLine="0" w:left="0"/>
      </w:pPr>
      <w:r>
        <w:t>52. URL: https://www.akit.ru — Ассоциация компаний интернет-торговли (дата обращения: 12.05.2026).</w:t>
      </w:r>
    </w:p>
    <w:p>
      <w:pPr>
        <w:ind w:firstLine="0" w:left="0"/>
      </w:pPr>
      <w:r>
        <w:t>53. URL: https://datainsight.ru — аналитическое агентство «Дата Инсайт» (дата обращения: 12.05.2026).</w:t>
      </w:r>
    </w:p>
    <w:p>
      <w:pPr>
        <w:ind w:firstLine="0" w:left="0"/>
      </w:pPr>
      <w:r>
        <w:t>54. URL: https://честныйзнак.рф — Национальная система цифровой маркировки «Честный знак» (дата обращения: 12.05.2026).</w:t>
      </w:r>
    </w:p>
    <w:p>
      <w:pPr>
        <w:ind w:firstLine="0" w:left="0"/>
      </w:pPr>
      <w:r>
        <w:t>55. URL: https://nalog.gov.ru — Федеральная налоговая служба Российской Федерации (дата обращения: 12.05.2026).</w:t>
      </w:r>
    </w:p>
    <w:p>
      <w:pPr>
        <w:ind w:firstLine="0" w:left="0"/>
      </w:pPr>
      <w:r>
        <w:t>56. URL: https://www.consultant.ru — справочная правовая система «КонсультантПлюс» (дата обращения: 12.05.2026).</w:t>
      </w:r>
    </w:p>
    <w:p>
      <w:pPr>
        <w:ind w:firstLine="0"/>
      </w:pPr>
      <w:r>
        <w:br w:type="page"/>
      </w:r>
    </w:p>
    <w:p>
      <w:bookmarkStart w:id="1016" w:name="h_app_1"/>
      <w:pPr>
        <w:pStyle w:val="Heading1"/>
      </w:pPr>
      <w:r>
        <w:rPr>
          <w:b/>
        </w:rPr>
        <w:t>ПРИЛОЖЕНИЕ А СТРУКТУРА ВЗАИМОДЕЙСТВИЯ И ПЕРЕЧЕНЬ ИНФОРМАЦИОННЫХ СИСТЕМ</w:t>
      </w:r>
      <w:bookmarkEnd w:id="1016"/>
    </w:p>
    <w:p/>
    <w:p>
      <w:pPr>
        <w:jc w:val="both"/>
      </w:pPr>
      <w:r>
        <w:t>В настоящем приложении приведена схема организационной структуры взаимодействия ОЭБиПК УВД по ЮЗАО с коммерческими предприятиями округа, а также сводный перечень используемых информационных систем и сервисов.</w:t>
      </w:r>
    </w:p>
    <w:p>
      <w:pPr>
        <w:jc w:val="both"/>
      </w:pPr>
      <w:r>
        <w:t>Структура взаимодействия:</w:t>
      </w:r>
    </w:p>
    <w:p>
      <w:pPr>
        <w:jc w:val="both"/>
      </w:pPr>
      <w:r>
        <w:t>1. ОЭБиПК УВД по ЮЗАО — центр координации профилактической, аналитической и контрольной работы.</w:t>
      </w:r>
    </w:p>
    <w:p>
      <w:pPr>
        <w:jc w:val="both"/>
      </w:pPr>
      <w:r>
        <w:t>2. Коммерческие предприятия округа — субъекты, применяющие интернет-технологии (модельная группа П-1 — П-5).</w:t>
      </w:r>
    </w:p>
    <w:p>
      <w:pPr>
        <w:jc w:val="both"/>
      </w:pPr>
      <w:r>
        <w:t>3. Партнёрские органы и сервисы: ФНС России, Банк России (ФинЦЕРТ), Росфинмониторинг, Минцифры России (платформа ГосТех), Координационный центр доменов.RU/.РФ, оператор «Честный знак» (ООО «Оператор-ЦРПТ»).</w:t>
      </w:r>
    </w:p>
    <w:p>
      <w:pPr>
        <w:jc w:val="both"/>
      </w:pPr>
      <w:r>
        <w:t>4. Профессиональные ассоциации: Московская торгово-промышленная палата, Московское отделение общероссийской общественной организации «ОПОРА РОССИИ», Ассоциация компаний интернет-торговли.</w:t>
      </w:r>
    </w:p>
    <w:p>
      <w:pPr>
        <w:spacing w:line="240" w:lineRule="auto"/>
        <w:ind w:firstLine="0"/>
        <w:jc w:val="left"/>
      </w:pPr>
      <w:r>
        <w:rPr>
          <w:rFonts w:ascii="Times New Roman" w:hAnsi="Times New Roman"/>
          <w:sz w:val="28"/>
        </w:rPr>
        <w:t>Таблица А.1 — Перечень информационных систем и сервисов, применяемых в работе ОЭБиПК с коммерческими предприятиями</w:t>
      </w:r>
    </w:p>
    <w:tbl>
      <w:tblPr>
        <w:tblStyle w:val="TableGrid"/>
        <w:tblW w:type="auto" w:w="0"/>
        <w:tblLook w:firstColumn="1" w:firstRow="1" w:lastColumn="0" w:lastRow="0" w:noHBand="0" w:noVBand="1" w:val="04A0"/>
      </w:tblPr>
      <w:tblGrid>
        <w:gridCol w:w="3213"/>
        <w:gridCol w:w="3213"/>
        <w:gridCol w:w="3213"/>
      </w:tblGrid>
      <w:tr>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w:t>
            </w:r>
          </w:p>
        </w:tc>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Система / сервис</w:t>
            </w:r>
          </w:p>
        </w:tc>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Назначение</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АИС МВД</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Учёт оперативной информации</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ЕИС МВД</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Единая информационная среда</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СПАРК-Интерфакс</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Должная осмотрительность</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Контур.Фокус</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Должная осмотрительность</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ЗАЧЕСТНЫЙБИЗНЕС</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Открытые сведения о юридических лицах</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6</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АИС Налог-3 (ФНС России)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Налоговая аналитика</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7</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АСК НДС-2 (ФНС России)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Контроль НДС</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8</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ФинЦЕРТ Банка России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Информация о финансовых инцидентах</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9</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Платформа «Знай своего клиента»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Оценка риска юридического лица</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ГосТех</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Межведомственный обмен</w:t>
            </w:r>
          </w:p>
        </w:tc>
      </w:tr>
    </w:tbl>
    <w:p>
      <w:pPr>
        <w:ind w:firstLine="0"/>
      </w:pPr>
    </w:p>
    <w:p>
      <w:pPr>
        <w:ind w:firstLine="0"/>
      </w:pPr>
      <w:r>
        <w:br w:type="page"/>
      </w:r>
    </w:p>
    <w:p>
      <w:bookmarkStart w:id="1017" w:name="h_app_2"/>
      <w:pPr>
        <w:pStyle w:val="Heading1"/>
      </w:pPr>
      <w:r>
        <w:rPr>
          <w:b/>
        </w:rPr>
        <w:t>ПРИЛОЖЕНИЕ Б ИНДИКАТОРЫ РАННЕГО РЕАГИРОВАНИЯ И ШКАЛА ИНДЕКСА ЦИФРОВОГО ДОВЕРИЯ</w:t>
      </w:r>
      <w:bookmarkEnd w:id="1017"/>
    </w:p>
    <w:p/>
    <w:p>
      <w:pPr>
        <w:jc w:val="both"/>
      </w:pPr>
      <w:r>
        <w:t>Приложение содержит методический инструментарий, использованный в основной части работы при формировании оценок состояния экономической безопасности модельной группы коммерческих предприятий и при разработке программы концептуальных предложений. Состав инструментария соответствует положениям раздела 1.3 (теоретическое обоснование индекса цифрового доверия), параграфа 2.3 (расчёт значений индекса для предприятий П-1 — П-5) и параграфа 3.1 (формулировка комплекса мероприятий цифрового мониторинга).</w:t>
      </w:r>
    </w:p>
    <w:p>
      <w:pPr>
        <w:jc w:val="both"/>
      </w:pPr>
      <w:r>
        <w:t>Б.1 Система индикаторов раннего обнаружения признаков противоправных действий в отношении коммерческой деятельности предприятия, применяющего интернет-технологии.</w:t>
      </w:r>
    </w:p>
    <w:p>
      <w:pPr>
        <w:jc w:val="both"/>
      </w:pPr>
      <w:r>
        <w:t>Система включает пять интегральных индикаторов, каждый из которых сопоставляется с пороговым значением, основанным на агрегированной статистике Банка России (ФинЦЕРТ) и Координационного центра доменов .RU/.РФ за 2022–2024 годы. Превышение порогового значения по двум и более индикаторам одновременно рассматривается в работе как основание для углублённой проверки со стороны подразделения экономической безопасности.</w:t>
      </w:r>
    </w:p>
    <w:p>
      <w:pPr>
        <w:jc w:val="both"/>
      </w:pPr>
      <w:r>
        <w:t>Индикатор 1 — динамика обращений потребителей. Регистрируется существенный рост числа обращений граждан о фактах причинения имущественного ущерба, связанных с деятельностью предприятия, в сравнении со средним уровнем за предшествующий квартал. Пороговое значение — превышение среднего квартального уровня более чем в три раза за один календарный месяц.</w:t>
      </w:r>
    </w:p>
    <w:p>
      <w:pPr>
        <w:jc w:val="both"/>
      </w:pPr>
      <w:r>
        <w:t>Индикатор 2 — наличие в открытом поиске копий ресурсов предприятия. Регистрируется появление сайтов и мобильных приложений, имитирующих внешний вид, доменное имя или товарные знаки исследуемого предприятия (фишинговые ресурсы). Пороговое значение — выявление двух и более подобных ресурсов в течение календарного месяца.</w:t>
      </w:r>
    </w:p>
    <w:p>
      <w:pPr>
        <w:jc w:val="both"/>
      </w:pPr>
      <w:r>
        <w:t>Индикатор 3 — динамика операций, оспоренных плательщиками. Регистрируется доля платёжных операций, по которым плательщиками заявлено оспаривание (обратный платёж по оспариванию), в общем количестве принятых платежей за период. Пороговое значение — превышение уровня 1,5 % при средней по отрасли доле в диапазоне 0,9–1,8 %.</w:t>
      </w:r>
    </w:p>
    <w:p>
      <w:pPr>
        <w:jc w:val="both"/>
      </w:pPr>
      <w:r>
        <w:t>Индикатор 4 — изменения в составе руководства и бенефициаров контрагентов. Регистрируется одновременное изменение состава руководителей или бенефициарных владельцев, охватывающее три и более юридических звена в цепочке контрагентов предприятия. Пороговое значение — наличие подобных изменений у трёх и более контрагентов одновременно в течение календарного месяца.</w:t>
      </w:r>
    </w:p>
    <w:p>
      <w:pPr>
        <w:jc w:val="both"/>
      </w:pPr>
      <w:r>
        <w:t>Индикатор 5 — аномальная ценовая динамика на торговых интернет-площадках. Регистрируется устойчивое отклонение цен и величины предоставляемых скидок от средневзвешенных значений по ассортиментной группе, типичное для схем легализации доходов от незаконной деятельности. Пороговое значение — отклонение более чем на 40 % от средневзвешенной цены по группе товаров на протяжении не менее десяти рабочих дней.</w:t>
      </w:r>
    </w:p>
    <w:p>
      <w:pPr>
        <w:jc w:val="both"/>
      </w:pPr>
      <w:r>
        <w:t>Б.2 Шкала интерпретации индекса цифрового доверия (ИЦД), введённого в параграфе 1.3 и применённого в параграфе 2.3.</w:t>
      </w:r>
    </w:p>
    <w:p>
      <w:pPr>
        <w:jc w:val="both"/>
      </w:pPr>
      <w:r>
        <w:t>Шкала включает четыре зоны устойчивости и носит ориентирующий характер при формировании дифференцированной программы мер.</w:t>
      </w:r>
    </w:p>
    <w:p>
      <w:pPr>
        <w:jc w:val="both"/>
      </w:pPr>
      <w:r>
        <w:t>Зона 1 — высокий уровень устойчивости (значение ИЦД 0,80 и выше): меры экономической безопасности реализованы на всех значимых процессах предприятия, риск возникновения инцидентов оценивается как низкий; рекомендован режим планового мониторинга.</w:t>
      </w:r>
    </w:p>
    <w:p>
      <w:pPr>
        <w:jc w:val="both"/>
      </w:pPr>
      <w:r>
        <w:t>Зона 2 — приемлемый уровень устойчивости (значение ИЦД от 0,60 до 0,79 включительно): меры реализованы в основном объёме, выявлены отдельные ограничения; рекомендовано выборочное усиление по слабо реализованным мерам.</w:t>
      </w:r>
    </w:p>
    <w:p>
      <w:pPr>
        <w:jc w:val="both"/>
      </w:pPr>
      <w:r>
        <w:t>Зона 3 — уровень ниже среднего (значение ИЦД от 0,40 до 0,59 включительно): меры реализованы частично, выявлены системные ограничения; рекомендована программа усиления с приоритетом на антифрод-инструменты и обучение персонала.</w:t>
      </w:r>
    </w:p>
    <w:p>
      <w:pPr>
        <w:jc w:val="both"/>
      </w:pPr>
      <w:r>
        <w:t>Зона 4 — критический уровень (значение ИЦД ниже 0,40): меры реализованы фрагментарно, риск возникновения значимых инцидентов оценивается как высокий; рекомендовано безотлагательное вмешательство и комплексный пересмотр процедур информационной защиты.</w:t>
      </w:r>
    </w:p>
    <w:p>
      <w:pPr>
        <w:jc w:val="both"/>
      </w:pPr>
      <w:r>
        <w:t>Б.3 Порядок применения индикаторов и шкалы ИЦД в работе ОЭБиПК.</w:t>
      </w:r>
    </w:p>
    <w:p>
      <w:pPr>
        <w:jc w:val="both"/>
      </w:pPr>
      <w:r>
        <w:t>Совместное применение системы индикаторов (Б.1) и шкалы ИЦД (Б.2) реализует двухконтурную логику оценки. Шкала ИЦД отражает «фоновое» состояние экономической безопасности коммерческого предприятия и обновляется в плановом порядке (раз в полугодие). Система индикаторов раннего обнаружения отражает оперативную обстановку и обновляется в текущем режиме. Сочетание двух контуров позволяет дифференцировать управленческие реакции: при изменении значения индекса ИЦД на полгода и более — пересмотр программы мер; при срабатывании двух и более индикаторов одновременно — проведение целевой проверки и информирование руководства предприятия со стороны подразделения экономической безопасности.</w:t>
      </w:r>
    </w:p>
    <w:p>
      <w:pPr>
        <w:ind w:firstLine="0"/>
      </w:pPr>
      <w:r>
        <w:br w:type="page"/>
      </w:r>
    </w:p>
    <w:p>
      <w:bookmarkStart w:id="1018" w:name="h_app_3"/>
      <w:pPr>
        <w:pStyle w:val="Heading1"/>
      </w:pPr>
      <w:r>
        <w:rPr>
          <w:b/>
        </w:rPr>
        <w:t>ПРИЛОЖЕНИЕ В СЦЕНАРНЫЕ ДОПУЩЕНИЯ И СВОДНЫЕ РАСЧЁТЫ</w:t>
      </w:r>
      <w:bookmarkEnd w:id="1018"/>
    </w:p>
    <w:p/>
    <w:p>
      <w:pPr>
        <w:jc w:val="both"/>
      </w:pPr>
      <w:r>
        <w:t>В приложении приведены отдельные рассчитанные показатели, использованные в третьей главе работы.</w:t>
      </w:r>
    </w:p>
    <w:p>
      <w:pPr>
        <w:spacing w:line="240" w:lineRule="auto"/>
        <w:ind w:firstLine="0"/>
        <w:jc w:val="left"/>
      </w:pPr>
      <w:r>
        <w:rPr>
          <w:rFonts w:ascii="Times New Roman" w:hAnsi="Times New Roman"/>
          <w:sz w:val="28"/>
        </w:rPr>
        <w:t>Таблица В.1 — Сценарные допущения для расчёта эффективности программы</w:t>
      </w:r>
    </w:p>
    <w:tbl>
      <w:tblPr>
        <w:tblStyle w:val="TableGrid"/>
        <w:tblW w:type="auto" w:w="0"/>
        <w:tblLook w:firstColumn="1" w:firstRow="1" w:lastColumn="0" w:lastRow="0" w:noHBand="0" w:noVBand="1" w:val="04A0"/>
      </w:tblPr>
      <w:tblGrid>
        <w:gridCol w:w="2409"/>
        <w:gridCol w:w="2409"/>
        <w:gridCol w:w="2409"/>
        <w:gridCol w:w="2409"/>
      </w:tblGrid>
      <w:tr>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Параметр</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Пессимистический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Базовый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Оптимистический</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потерь от фрода, %</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55</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80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92</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Прирост чистой прибыли, %</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35</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89</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150</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Прирост затрат на ИБ, % от выручки</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+0,7</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времени реакции, ч</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−34</w:t>
            </w:r>
          </w:p>
        </w:tc>
      </w:tr>
    </w:tbl>
    <w:p>
      <w:pPr>
        <w:ind w:firstLine="0"/>
      </w:pPr>
    </w:p>
    <w:p>
      <w:pPr>
        <w:jc w:val="both"/>
      </w:pPr>
      <w:r>
        <w:t>Источник: расчёт автора по обобщённым данным Росстата, Банка России (ФинЦЕРТ) и материалам преддипломной практики.</w:t>
      </w:r>
    </w:p>
    <w:sectPr w:rsidR="00FC693F" w:rsidRPr="0006063C" w:rsidSect="00034616">
      <w:footerReference w:type="default" r:id="rId9"/>
      <w:pgSz w:w="11906" w:h="16838"/>
      <w:pgMar w:top="1134" w:right="567" w:bottom="1134" w:left="170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8"/>
      </w:rPr>
      <w:fldChar w:fldCharType="begin"/>
      <w:instrText xml:space="preserve">PAGE   \* MERGEFORMAT</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ind w:firstLine="709"/>
      <w:jc w:val="both"/>
    </w:pPr>
    <w:rPr>
      <w:rFonts w:ascii="Times New Roman" w:hAnsi="Times New Roman" w:cs="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40" w:lineRule="auto"/>
      <w:ind w:firstLine="0"/>
      <w:jc w:val="center"/>
      <w:outlineLvl w:val="0"/>
    </w:pPr>
    <w:rPr>
      <w:rFonts w:asciiTheme="majorHAnsi" w:eastAsiaTheme="majorEastAsia" w:hAnsiTheme="majorHAnsi" w:cstheme="majorBidi"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ind w:firstLine="709"/>
      <w:jc w:val="left"/>
      <w:outlineLvl w:val="1"/>
    </w:pPr>
    <w:rPr>
      <w:rFonts w:asciiTheme="majorHAnsi" w:eastAsiaTheme="majorEastAsia" w:hAnsiTheme="majorHAnsi" w:cstheme="majorBidi" w:ascii="Times New Roman" w:hAnsi="Times New Roman" w:cs="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