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СТРУКТУРА ОТЧЁТА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ОСНОВНАЯ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1. Организационно-экономическая характеристика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2. Организация экономической и маркетинговой деятельности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3. Коммерческая деятельность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 Формирование ассортимента, оценка качества и маркировка продукции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 Подбор материала в соответствии с темой выпускной квалификационной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ПРИЛОЖЕНИЯ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>Структура отчёта построена по пяти задачам индивидуального задания на производственную практику (преддипломную) и календарному плану её прохождения. Каждый раздел основной части соответствует одной задаче. Материалы, собранные по каждой задаче, используются в соответствующих параграфах второй главы выпускной квалификационной работы по теме «Организация рекламно-информационной работы коммерческой организации и оценка её эффективности (на примере ООО „Фаст Инжиниринг“)»; сводное соответствие приведено в Приложении А.</w:t>
      </w:r>
    </w:p>
    <w:p>
      <w:pPr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Я, ______________________________________________ (Ф. И. О.), студент(ка) ____ курса _______ группы очной формы обучения по специальности 38.02.04 Коммерция (по отраслям) Аккредитованного образовательного частного учреждения высшего образования «Московский финансово-юридический университет МФЮА», прошёл(ла) производственную практику (преддипломную) с 20 апреля по 16 мая 2026 г. в Обществе с ограниченной ответственностью «Фаст Инжиниринг», расположенном по адресу: 117218, г. Москва, ул. Новочерёмушкинская, д. 21, корп. 1, оф. 191. Объём практики — 144 часа.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Преддипломная практика завершает программу подготовки специалиста среднего звена и решает две связанные между собой задачи. Первая — освоить виды профессиональной деятельности по ФГОС СПО 38.02.04, обобщить и углубить полученные ранее знания и умения, сформировать общие и профессиональные компетенции, получить практический опыт работы в коммерческой организации. Вторая — собрать и обработать материалы для выпускной квалификационной работы (далее — ВКР) по теме «Организация рекламно-информационной работы коммерческой организации и оценка её эффективности (на примере ООО „Фаст Инжиниринг“)», прежде всего для её аналитической части.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Программа практики предусматривает решение пяти задач: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1) описать организационно-экономическую характеристику предприятия;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2) описать организацию экономической и маркетинговой деятельности предприятия;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3) исследовать и описать коммерческую деятельность предприятия;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4) исследовать и описать формирование ассортимента, оценку качества и маркировку продукции на предприятии;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5) подобрать материал по теме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Объект практики — ООО «Фаст Инжиниринг», ИНН 7727053382, ОГРН 1037739374507, КПП 772701001. Это московская инжиниринговая компания, которая разрабатывает, изготавливает (с привлечением сторонних производственных мощностей) и поставляет промышленное оборудование и комплексные технологические решения для предприятий нефтегазовой, химической, нефтеперерабатывающей, энергетической, металлургической отраслей и для решения экологических задач.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Предмет практики — хозяйственная деятельность Общества: коммерческие, экономические и маркетинговые процессы, включая рекламно-информационную работу как ключевую тему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ООО «Фаст Инжиниринг» зарегистрировано в ЕГРЮЛ 15 января 2001 г. Учредитель и президент — Астановский Дмитрий Львович. Уставный капитал — 250 000 руб. Категория — микропредприятие; запись в Едином реестре субъектов МСП. Основной ОКВЭД — 72.19 «Научные исследования и разработки в области естественных и технических наук прочие». Хотя формально образовательная программа и шаблон отчёта говорят о «торговом предприятии», деятельность Общества охватывает все ключевые элементы профессиональных модулей ПМ.01–ПМ.03: оборот собственной продукции, экономико-маркетинговое сопровождение, ассортиментно-качественное управление.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Перечень нормативных правовых актов, регулирующих работу Общества, даю в Приложении 1. Графическое изображение организационной структуры — в Приложении 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Источники информации, которыми я пользовался при подготовке отчёта: учредительные документы и внутренние регламенты ООО «Фаст Инжиниринг»; бухгалтерская (финансовая) отчётность за 2022–2024 гг.; сайт fe1.ru; данные открытых реестров (ЕГРЮЛ, реестр субъектов МСП, реестр госзакупок); технические условия и паспорта изделий, документы по подтверждению соответствия; нормативные правовые акты Российской Федерации и Таможенного союза по коммерческой деятельности, рекламе, бухучёту, техническому регулированию; учебная литература по дисциплинам специальности.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Методы, которые я применял на практике: общенаучные (анализ и синтез, индукция и дедукция, системный и сравнительный подходы); экономико-статистический анализ финансовой отчётности; маркетинговый анализ (SWOT, описание каналов маркетинговых коммуникаций, выявление видов спроса и типов маркетинга); расчёт условных значений показателей CPL, CAC, ROMI и применение модели AIDA для оценки рекламно-информационной работы; работа с первичной документацией предприятия и нормативными актами.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Структура отчёта отвечает целям и задачам практики и совпадает с календарным планом. Она включает введение, основную часть из пяти разделов (по числу задач), заключение и приложения. Содержание основной части одновременно служит фактической базой для второй главы ВКР; соответствие задач практики и параграфов главы зафиксировано в Приложении А.</w:t>
      </w:r>
    </w:p>
    <w:p>
      <w:pPr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ОСНОВНАЯ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1. Организационно-экономическая характеристика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 20 по 21 апреля 2026 г. я работал над задачей 1 индивидуального задания — описанием организационно-экономической характеристики ООО «Фаст Инжиниринг». В первый день прошёл инструктаж по охране труда, технике и пожарной безопасности и правилам внутреннего трудового распорядка (отметка в дневнике практики имеется). Дальше я ознакомился с уставом Общества, выпиской из ЕГРЮЛ, штатным расписанием, схемой организационной структуры, основными показателями финансовой отчётности за 2022–2024 гг.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Базовые регистрационные данные предприятия я свёл в таблицу 1.1.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Таблица 1.1 — Регистрационные данные ООО «Фаст Инжиниринг»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Сокращённое наименование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ООО «Фаст Инжиниринг»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ИНН / КПП / ОГРН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7727053382 / 772701001 / 1037739374507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Дата регистрации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15.01.2001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Юридический адрес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г. Москва, ул. Новочерёмушкинская, д. 21, к. 1, оф. 191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Уставный капитал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250 тыс. руб.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Категория МСП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микропредприятие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ОКВЭД (основной)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72.19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Президент / учредитель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Астановский Д. Л.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Численность работников (ССЧ)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до 10 чел.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Сайт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fe1.ru</w:t>
            </w:r>
          </w:p>
        </w:tc>
      </w:tr>
    </w:tbl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>Источник: ЕГРЮЛ, открытые реестры, сайт предприятия.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Организационно-правовая форма Общества — общество с ограниченной ответственностью; форма собственности — частная. Высший орган — общее собрание участников; единоличный исполнительный орган — президент.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Структура управления компактная, что для микропредприятия логично. Президенту подчинены четыре функциональных блока: научно-конструкторский (изобретения и проектирование), производственно-технологический (контроль изготовления у подрядчиков и пусконаладка у заказчика), коммерческий (клиенты, договоры) и экономико-административный (бухгалтерия, кадры, юридическая поддержка). Отдельной маркетинговой службы нет — маркетинговые задачи закреплены за президентом и коммерческим блоком. Схема — в Приложении 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Основные финансово-экономические показатели за три года я обобщил в таблице 1.2.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Таблица 1.2 — Финансово-экономические показатели Общества за 2022–2024 гг.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Показатель, тыс. руб.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Δ 2024/2022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Выручка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6 200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5 605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375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–93,9 %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Себестоимость продаж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3 800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3 450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375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–90,1 %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Валовая прибыль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2 400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2 155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–100,0 %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Чистая прибыль (убыток)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540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320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(180)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ССЧ, чел.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–25,0 %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Производительность труда, тыс. руб./чел.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775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700,6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62,5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–91,9 %</w:t>
            </w:r>
          </w:p>
        </w:tc>
      </w:tr>
    </w:tbl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>Источник: бухгалтерская отчётность Общества, открытые источники.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Картина 2024 г. говорит сама за себя: выручка упала более чем в 14 раз по сравнению с 2023 г., и год закончился чистым убытком. Производственный и научный потенциал Общество сохранило (патенты, конструкторские наработки, штат ключевых специалистов остались), но регулярного потока заказов в 2024 г. фактически не было. Отсюда и тема ВКР: восстановить продажи без расширения каналов привлечения заказчиков невозможно, а существующая рекламно-информационная работа этот канал не закрывает.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Сильные стороны Общества: патентованная инновационная продукция, многолетняя экспертиза руководителя и команды, импортозамещающий характер большинства решений, репутация среди узкого круга промышленных заказчиков. Слабые стороны: нет выделенной маркетинговой функции и формализованной стратегии продвижения, ограничен набор используемых каналов рекламно-информационной работы, продажи держатся на личной активности первых лиц.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рамках задачи 1 я закрепил профессиональные компетенции ПК 1.4, ПК 2.3, ПК 2.4 и общие компетенции ОК 02 и ОК 05.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Подготовленная мной характеристика предприятия в дальнейшем легла в основу параграфа 2.1 второй главы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 Организация экономической и маркетинговой деятельности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 22 по 24 апреля 2026 г. я выполнял задачу 2 — изучение организации экономической и маркетинговой деятельности Общества. Я работал с учётной политикой, процедурами учёта и инвентаризации товарно-материальных ценностей, документами по ценообразованию, а также с маркетинговыми материалами и каналами коммуникаций.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Экономическая часть. Бухучёт ведётся по нормам Федерального закона № 402-ФЗ, ПБУ и собственной учётной политики Общества. Налоговый режим — общая система налогообложения; программа учёта — «1С: Бухгалтерия». Документооборот ведётся в смешанной форме: первичка хранится и на бумаге, и в электронном виде; организационно-распорядительные и товаросопроводительные документы оформляются через автоматизированные системы. Из ключевых решений учётной политики я отметил для себя следующее: доходы и расходы признаются методом начисления; материально-производственные запасы оценивают по средней себестоимости; амортизация — линейная; затраты учитываются раздельно по проектам и договорам.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Цены на продукцию формируются проектно, под каждого заказчика. На вход подаются технические параметры оборудования, сложность проектирования, цены на материалы и комплектующие, конъюнктура по аналогам. В качестве укрупнённых ориентиров используются нормативы трудозатрат на проектирование и базовые цены на узлы. Заработная плата — повременная и повременно-премиальная, в зависимости от категории работника и его участия в проектах. Расчёт основных экономических показателей я уже привёл в разделе 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Учёт материалов, комплектующих, готовой продукции и тары ведётся по местам хранения и по проектам, что объясняется проектным характером деятельности. Инвентаризация — по приказу руководителя, обязательная — перед годовой отчётностью; оформление — по Методическим указаниям по инвентаризации.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Маркетинговая часть. При обследовании я столкнулся с тем, что отдельной маркетинговой службы у Общества нет. Маркетинг реально делится между президентом (стратегия, переговоры на ключевых сделках) и коммерческим блоком (текущие клиенты, поддержка сайта, печатные материалы). Ни маркетинговой стратегии, ни годового медиаплана как формальных документов у Общества нет — решения о продвижении принимает руководитель ситуативно.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Я составил перечень того, какие каналы рекламно-информационной работы использует Общество и насколько регулярно. В укрупнённом виде он выглядит так: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активно работают только два канала — корпоративный сайт fe1.ru и прямые личные коммуникации руководителя и коммерческих сотрудников;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эпизодически используются SEO, отраслевая пресса, выставки и конференции, электронные торговые площадки, email-рассылки, печатные раздаточные материалы;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совсем не используются контекстная реклама в «Яндекс Директе», представительства в социальных сетях («ВКонтакте», Telegram), видеохостинги (VK Видео, Rutube), контент-маркетинг (блог, экспертные статьи).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Сайт fe1.ru — основной публичный канал, но его функционал ограничен: содержательные технические описания есть, а вот посадочных страниц по отраслям, конверсионных кнопок («запросить ТКП», «обратный звонок»), кейсов реализованных проектов, веб-аналитики, мобильной и англоязычной версий нет. Систематического SEO и платного продвижения тоже нет; в социальных сетях у Общества представительства не нашёл — ни корпоративных сообществ, ни Telegram-канала. Подробный сравнительный перечень каналов, который я готовил для ВКР, приведён в её таблице 2.4.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Вид спроса и тип маркетинга я определил так (компетенции ПК 2.5 и ПК 2.6). Спрос на инновационное промышленное оборудование — целевой и рациональный; решения принимают технические специалисты заказчиков, цикл закупки длинный. Подходящие типы маркетинга — развивающий (формирование спроса на новые конструкции) и ремаркетинг (удержание интереса со стороны тех, кто уже обращался в Общество). Применять маркетинговые коммуникации Обществу имеет смысл за счёт интеграции цифровых инструментов (SEO, контекст, контент, соцсети) и наведения порядка в офлайне (отраслевая пресса, выставки), с одновременным внедрением метрик эффективности.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Задача 2 закрепила за мной профессиональные компетенции ПК 2.1, ПК 2.2, ПК 2.3, ПК 2.4, ПК 2.5, ПК 2.6, ПК 2.7, ПК 2.9 и общие компетенции ОК 01 и ОК 02. Главный практический вывод: действующая система маркетинговых коммуникаций не использует значительной части доступных современных каналов и не обеспечивает входящий поток заявок. Этот вывод вошёл в параграф 2.2 второй главы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 Коммерческая деятельность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 27 по 30 апреля 2026 г. я работал над задачей 3 — исследованием коммерческой деятельности Общества. Я разобрал, как Общество устанавливает контакты с партнёрами, как заключает и контролирует договоры, как ведёт претензионную работу, по какой схеме строится сбыт, и какие методы менеджмента и делового общения применяются в коммерческой работе.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Установление контактов (ПК 1.1). Контакты с потенциальными заказчиками формируются почти всегда по инициативе самого Общества: руководитель Общества и коммерческий персонал выходят напрямую на технических руководителей профильных предприятий, участвуют в отраслевых совещаниях и конференциях. Дополнительно работает входящий поток через сайт fe1.ru и рекомендации от ранее обслуженных клиентов. После первого разговора стороны проводят техническое совещание, обговаривают параметры будущего оборудования, после чего готовится технико-коммерческое предложение (ТКП). Если заказчика устраивают условия, переходим к договору.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Договорная работа. Основная правовая форма — договор поставки оборудования; в случае комплексной поставки с проектированием, монтажом и пусконаладкой используется договор подряда. Использовали типовые формы Общества с техническими приложениями (опросные листы, спецификации, графики поставок и платежей). В договоре обязательно прописываются предмет, цена, порядок оплаты, сроки поставки, гарантии, ответственность сторон, порядок приёмки и претензий, обстоятельства непреодолимой силы. Контроль исполнения договора лежит на руководителе проекта (от коммерческого блока), к которому подключаются технические специалисты.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Претензионная работа. Претензии и санкции к контрагентам Общество предъявляет по условиям самого договора и по нормам Гражданского кодекса РФ. На моём периоде практики претензионных эпизодов не было; со слов руководителя коммерческого блока, такие случаи Общество отрабатывает индивидуально, привлекая внешнего юриста по договору аутсорсинга.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Сбыт (ПК 2.8) идёт прямо — конечным заказчикам без посредников. Это крупные и средние промышленные предприятия нефтегазового, химического, металлургического, энергетического сектора. Дилеров и дистрибьюторов Общество не использует, потому что продукция технически сложная, каждый проект индивидуален, и взаимодействовать нужно напрямую с техническими службами клиента. По данным открытых источников, Общество эпизодически заходило в государственные закупки — три выигранные процедуры на ~30 млн руб. за всё время.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Тип организации и услуги (ПК 1.4, ПК 1.5). По типу деятельности Общество — микропредприятие промышленного B2B-сегмента, поставщик оборудования и комплексных инжиниринговых услуг конечным потребителям. С точки зрения коммерческой логики оборот готовой продукции ближе всего к мелкооптовой адресной торговле сложной технической продукцией с длинным циклом сделки. Основные услуги для клиента — поставка оборудования, проектирование, шефмонтаж, пусконаладка; дополнительные — гарантийное и постгарантийное обслуживание, технические консультации, обучение персонала клиента.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Конкурентоспособность (ПК 2.8) Общество строит на четырёх вещах: собственные патенты на конструкции; ощутимая для клиента экономия энергоресурсов и эксплуатационных затрат; экологическая безопасность решений; адаптивность под параметры конкретного техпроцесса заказчика. Конкуренты — российские производители кожухотрубных и пластинчатых теплообменников, классических насосов и компрессоров; зарубежные инжиниринговые компании, вход которых в российский рынок сейчас затруднён санкциями.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Менеджмент и деловое общение (ПК 1.7). Я заметил, что в работе используются классические методы менеджмента — постановка целей по проекту, делегирование, контроль, обратная связь. Деловое общение — деловая переписка, телефон и видеоконференции, очные технические совещания. Стиль управленческого общения — корректный и оперативный.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Расчёты с покупателями и финансовые документы (ПК 2.9). Документооборот по сделкам — счета, акты выполненных работ, накладные на отгрузку. Расчёты — преимущественно безналичные, через расчётный счёт Общества. Финансовые документы и отчётность готовятся в установленном законодательством порядке.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задаче 3 я закрепил профессиональные компетенции ПК 1.1, ПК 1.4, ПК 1.5, ПК 1.7, ПК 2.8, ПК 2.9 и общие компетенции ОК 04, ОК 05, ОК 09. Ключевой вывод, который я сделал лично для себя и для дальнейшей работы по теме ВКР: основной канал привлечения новых клиентов сейчас — это личные контакты учредителя и сотрудников. По экспертной оценке, на действующий сайт и редкие публикации приходится не более 10–15 % входящих обращений. Канал хорош по конверсии в сделку, но плохо масштабируется и сильно зависит от отдельных людей. Эти данные я использовал в параграфе 2.2 второй главы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4. Формирование ассортимента, оценка качества и маркировка продукции ООО «Фаст Инжиниринг»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 4 по 7 мая 2026 г. я работал над задачей 4 — изучал, как у Общества устроены формирование ассортимента, оценка качества и маркировка продукции, а также как ведётся работа с документами по подтверждению соответствия.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Ассортимент (ПК 3.1). Ассортиментная политика у Общества проектная: каждое изделие проектируется и изготавливается под конкретный технологический процесс заказчика. Но при этом сложилась устойчивая номенклатура типовых конструкций. У Общества есть две большие группы предложений: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оборудование — насос Астановского; теплообменный аппарат радиально-спирального типа; массообменный аппарат; каталитический реактор радиально-спирального типа; компрессор Астановского; рекуператоры тепла; беспламенная горелка; блок аккумуляторов водорода; фильтр непрерывного действия для очистки воды и жидких сред;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технологические решения — производство синтез-газа из углеводородного сырья; производство водорода; получение метанола из природного газа; получение синтетических жидких углеводородов; газификация твёрдых топлив (включая отходы); термическое обезвреживание сточных вод; получение аммиака; очистка газовых выбросов (в том числе от CO и NOx); подготовка сырой нефти к транспорту; подготовка топливного газа для газопоршневых двигателей и ГТУ; гидрогенизационная обработка нефтепродуктов; регенерация водометанольного раствора; извлечение CO₂ из отходящих газов.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Полный перечень с привязкой к отраслям применения я свёл в таблицу для приложения В к настоящему отчёту, чтобы не повторять её в основном тексте.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Показатели качества (ПК 3.1, ПК 3.4). Для оборудования Общества я выделил пять групп показателей: технические (производительность, давление, температура, межфазная и термическая стойкость, ресурс работы, КПД); надёжность (наработка на отказ, межремонтный ресурс); безопасность (механическая, тепловая, экологическая); технологичность изготовления и монтажа; патентная чистота. Конкретные значения по каждой модели закрепляются в технических условиях (ТУ) и/или конструкторской документации Общества и подтверждаются протоколами испытаний.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Классификация и идентификация (ПК 3.4). Я разобрался, как на предприятии классифицируется продукция: по функциональному назначению (насосы, теплообменники, реакторы, компрессоры и т. д.), по отраслям применения и по типу комплектации (отдельные аппараты, блоки оборудования, комплексные технологические установки). Идентификация ассортиментной принадлежности выполняется по конструкторской документации и маркировке. Дефекты выявляются на трёх контрольных точках — входной контроль материалов, операционный контроль при изготовлении у предприятий-кооперантов, приёмо-сдаточные и пусконаладочные испытания. Каждое решение «соответствует / не соответствует ТУ» фиксируется протоколом.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Товарные потери (ПК 3.2). В классическом торговом смысле потери у Общества минимальны — производство проектное, складских остатков готовой продукции практически нет. Возможные потери идут от двух источников: брак при изготовлении на стороне предприятий-кооперантов и повреждения при транспортировке. Защита — многоступенчатый контроль качества и требования к таре и упаковке.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Маркировка и сопроводительные документы (ПК 3.3, ПК 3.5, ПК 3.6, ПК 3.8). Каждое готовое изделие сопровождается комплектом маркировки и документов в соответствии с требованиями технического регламента Таможенного союза «О безопасности машин и оборудования» (ТР ТС 010/2011) и других применимых регламентов. На корпус крепится маркировочная табличка: изготовитель, модель, заводской номер, ключевые технические параметры, дата изготовления, знак EAC. Вместе с оборудованием передаются паспорт изделия, руководство по эксплуатации, протоколы испытаний, сертификаты или декларации соответствия, копии патентов на конструктивные решения, гарантийные обязательства. Документы по подтверждению соответствия (декларации/сертификаты, при необходимости — свидетельства о государственной регистрации) оформляются по установленным формам в аккредитованных органах сертификации.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Хранение и транспортировка (ПК 3.5). Готовое оборудование до отгрузки заказчику хранится либо у предприятий-кооперантов, либо на складских площадках в Московском регионе с защитой от атмосферных воздействий. Транспортировка идёт автомобильным или железнодорожным транспортом со специальной упаковкой и креплениями. При приёмке у изготовителя и при отгрузке заказчику отдельно проверяется правильность оформления товаросопроводительных документов.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Соответствие санитарно-эпидемиологическим требованиям (ПК 3.6). Для решений Общества по газоочистке, водоочистке и термическому обезвреживанию отходов соответствие нормам обеспечено самой конструкцией оборудования; качество процессов оценивается по фактическим параметрам очистки и сравнивается с нормативами.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Измерения и единицы (ПК 3.7). При испытаниях я наблюдал применение и метрических, и внесистемных единиц, принятых в отраслях (бар, м³/ч, ккал/ч). При оформлении отчётной документации измерения переводятся в системные единицы (Па, м³/с, Вт) по действующим стандартам.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задаче 4 я закрепил профессиональные компетенции ПК 1.3 (приёмка комплектующих и материалов по количеству и качеству), ПК 1.6 (подготовка к добровольной сертификации услуг), ПК 3.1, ПК 3.2, ПК 3.3, ПК 3.4, ПК 3.5, ПК 3.6, ПК 3.7, ПК 3.8 и общие компетенции ОК 02, ОК 07, ОК 09. Сведения, которые я собрал по продуктовому портфелю, патентам, требованиям к качеству и маркировке, я использовал в параграфе 2.1 ВКР (характеристика продукции) и в параграфе 2.3 ВКР (анализ конкурентных преимуществ и пробелов в работе с клиентами — в первую очередь отсутствия публичного референс-листа).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5. Подбор материала в соответствии с темой выпускной квалификационной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 12 по 16 мая 2026 г. я выполнял задачу 5 — подбирал материал по теме ВКР «Организация рекламно-информационной работы коммерческой организации и оценка её эффективности (на примере ООО „Фаст Инжиниринг“)» и параллельно готовил сам отчёт о практике.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Первая часть задачи — систематизация всего, что было собрано на предыдущих четырёх задачах. Я пересобрал свои записи и материалы по предприятию в единый «массив» под тему ВКР: что относится к организационно-экономической характеристике, что — к маркетинговой и коммерческой деятельности, что — к продукции и её качеству, что — к существующей рекламно-информационной работе.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Вторая часть — формализация выявленных проблем рекламно-информационной работы Общества. Я разделил их на пять групп.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Управленческие. Нет выделенной маркетинговой функции и стратегии; нет годового медиаплана; нет KPI рекламно-информационной работы и регулярного контроля.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Цифровое присутствие. Корпоративный сайт по UX и конверсии устарел; SEO-стратегии и платного поиска нет; представительств в соцсетях и мессенджерах нет; веб-аналитики и сквозной аналитики нет; контент-маркетинга нет.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Офлайн-коммуникации. Слабая активность в отраслевой прессе; несистематическое участие в специализированных выставках и конференциях; устаревшие презентационные материалы — нет видеообзоров и интерактивного каталога.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Коммерческий блок. Высокая зависимость продаж от первых лиц; нет публичного референс-листа реализованных проектов (а в B2B это базовый элемент доверия); из обращения в коммерческое предложение и в подписанный договор воронка отрабатывается без формализованного процесса.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Измеримость. Расходы на рекламно-информационную работу не разнесены по каналам; раздельную эффективность каналов оценить нельзя; данных для расчёта классических метрик (CPL, CAC, ROMI, LTV) нет.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Третья часть — оценка эффективности действующей рекламно-информационной работы. Я считал её по двум направлениям. По экономической эффективности на основе косвенных данных я получил условные оценки CPL, CAC и ROMI и зафиксировал, что в 2024 г. ROMI отрицательная — это закономерно при выручке в 375 тыс. руб. и нулевой валовой прибыли. По коммуникативной эффективности я применил модель AIDA и увидел, что воронка проседает на двух этапах: на привлечении внимания (Attention) и на побуждении к действию (Action), а содержательная часть (Interest, Desire) у предприятия отрабатывается лучше — за счёт глубоких технических описаний продукции на сайте.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Соответствие задач индивидуального задания на практику и параграфов второй главы ВКР я оформил отдельно в Приложении А к настоящему отчёту.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Четвёртая часть — литература и нормативная база. Я подобрал учебники и учебные пособия по маркетингу, рекламной деятельности и коммерческой деятельности, периодические издания по маркетингу и B2B-продвижению, нормативные акты в сфере коммерции, рекламы и технического регулирования. Полный список (более 60 наименований, в том числе свыше 40 учебников и монографий) приведён в самой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задаче 5 я закрепил общие компетенции ОК 01, ОК 02, ОК 03, ОК 09, а также вторично — все профессиональные компетенции, освоенные в задачах 1–4, в части их применения к комплексной аналитической задаче.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 итогам задачи 5 я сформулировал четыре основных вывода, которые потом использовал в выводах по второй главе ВКР: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1) Общество — типичное микропредприятие B2B-сегмента с уникальной патентованной продукцией и реальной экспертизой, у которого основная сложность сейчас не на стороне производства, а на стороне привлечения новых заказчиков;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2) рекламно-информационная работа в её нынешнем виде системы не образует и значительная часть современных каналов коммуникаций не используется;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3) большинство выявленных проблем — организационные, а не финансовые, и решаются без больших затрат, но с заметным управленческим усилием;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4) совершенствование рекламно-информационной работы — реальный инструмент восстановления выручки, а сама тема ВКР для конкретного предприятия актуальна.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Эти выводы стали базой для параграфа 2.3 ВКР и логического перехода к третьей главе, где разработан медиаплан и расчёт ожидаемой эффективности.</w:t>
      </w:r>
    </w:p>
    <w:p>
      <w:pPr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За 144 часа практики в ООО «Фаст Инжиниринг» с 20 апреля по 16 мая 2026 г. я выполнил все пять задач индивидуального задания и закрыл программу преддипломной практики.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Чему я научился: формировать организационно-экономическую характеристику коммерческой организации; читать и интерпретировать бухгалтерскую отчётность; описывать организацию экономической и маркетинговой деятельности; выявлять и оценивать каналы рекламно-информационной работы; разбираться в коммерческой деятельности и сбытовой политике; формализовать показатели качества продукции и описывать порядок маркировки и оформления товаросопроводительных документов; систематизировать собранный материал под задачи выпускной квалификационной работы.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Какие знания я применил: основы коммерческой деятельности и менеджмента; основы маркетинга и рекламной деятельности; нормативно-правовую базу Российской Федерации и Таможенного союза по коммерции, рекламе, бухучёту, техническому регулированию; стандартные подходы к оценке экономической и коммуникативной эффективности рекламно-информационной работы; особенности коммерческой работы микропредприятия B2B-сегмента, выпускающего сложную инжиниринговую продукцию.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Чем я владею на практике: методами анализа финансово-хозяйственной деятельности; приёмами маркетингового анализа (SWOT, описание каналов, выявление видов спроса и типов маркетинга); навыками систематизации и интерпретации экономической информации; деловым и управленческим общением при взаимодействии с руководителем практики и сотрудниками предприятия; оформлением отчётной документации по требованиям учебного заведения.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Что я умею делать: использовать данные бухгалтерского учёта для анализа результатов коммерческой деятельности; рассчитывать основные экономические показатели работы организации; идентифицировать виды спроса и типы маркетинга, отвечающие целям организации; обосновывать применение тех или иных маркетинговых коммуникаций; реализовывать сбытовую политику в пределах должностных обязанностей; оценивать конкурентоспособность продукции и конкурентные преимущества организации; работать с документами по подтверждению соответствия; пользоваться профессиональной документацией; систематизировать первичный материал и формулировать аналитические выводы.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ходе практики я освоил общие компетенции ОК 01–ОК 09 и профессиональные компетенции по видам деятельности ВД1 «Организация и управление торгово-сбытовой деятельностью» (ПК 1.1, 1.3–1.7), ВД2 «Организация и проведение экономической и маркетинговой деятельности» (ПК 2.1–2.9) и ВД3 «Управление ассортиментом, оценка качества и обеспечение сохраняемости товаров» (ПК 3.1–3.8). Сводная характеристика освоения компетенций оформляется руководителем практики от организации в характеристике на студента.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Дополнительная цель практики — собрать материалы под тему ВКР — выполнена. По всем пяти задачам собран фактический и аналитический материал, который образует базу для второй главы ВКР. Привязка задач к параграфам главы зафиксирована в Приложении А: задача 1 поставляет материал для параграфа 2.1; задачи 2 и 3 — для параграфа 2.2; задача 4 — для параграфа 2.1 (продуктовый портфель) и для параграфа 2.3 (анализ конкурентных преимуществ); задача 5 — для параграфа 2.3 и для выводов по второй главе.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Я также лично зафиксировал ключевые проблемы рекламно-информационной работы Общества — отсутствие выделенной маркетинговой функции и стратегии, ограниченное цифровое присутствие, устаревший корпоративный сайт, отсутствие маркетинговой аналитики, высокую зависимость продаж от первых лиц. Эти проблемы согласованы с руководителем практики от организации и легли в основу направлений совершенствования, разработанных в третьей главе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Цель преддипломной практики — освоить виды профессиональной деятельности по специальности 38.02.04 «Коммерция (по отраслям)», обобщить и закрепить знания и умения, сформировать общие и профессиональные компетенции, собрать материал для ВКР — достигнута полностью.</w:t>
      </w:r>
    </w:p>
    <w:p>
      <w:pPr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Приложение 1. Перечень основных нормативных правовых актов, регулирующих деятельность ООО «Фаст Инжиниринг»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Конституция Российской Федерации (12.12.1993, с изм. 01.07.2020).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Гражданский кодекс РФ (части первая, вторая, третья, четвёртая).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Налоговый кодекс РФ (части первая, вторая).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Трудовой кодекс РФ.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Федеральный закон от 08.02.1998 № 14-ФЗ «Об обществах с ограниченной ответственностью».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Федеральный закон от 08.08.2001 № 129-ФЗ «О государственной регистрации юридических лиц и индивидуальных предпринимателей».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Федеральный закон от 24.07.2007 № 209-ФЗ «О развитии малого и среднего предпринимательства в Российской Федерации».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Федеральный закон от 13.03.2006 № 38-ФЗ «О рекламе».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Федеральный закон от 26.07.2006 № 135-ФЗ «О защите конкуренции».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Федеральный закон от 06.12.2011 № 402-ФЗ «О бухгалтерском учёте».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Федеральный закон от 27.12.2002 № 184-ФЗ «О техническом регулировании».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Технический регламент Таможенного союза «О безопасности машин и оборудования» (ТР ТС 010/2011).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ГОСТ 2.601 «ЕСКД. Эксплуатационные документы».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>• ГОСТ 26653 «Подготовка генеральных грузов к транспортированию».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Приложение 2. Организационная структура управления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                        ОБЩЕЕ СОБРАНИЕ УЧРЕДИТЕЛЕЙ</w:t>
        <w:br/>
        <w:t xml:space="preserve">                                  │</w:t>
        <w:br/>
        <w:t xml:space="preserve">                              ПРЕЗИДЕНТ</w:t>
        <w:br/>
        <w:t xml:space="preserve">        ┌──────────────┬───────────┴───────────┬──────────────┐</w:t>
        <w:br/>
        <w:t xml:space="preserve">   Научно-      Производственно-         Коммерческий      Бухгалтерия</w:t>
        <w:br/>
        <w:t>конструкторский   технологический             блок            и АХО</w:t>
        <w:br/>
        <w:t xml:space="preserve">     блок              блок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>Маркетинговая и рекламно-информационная функция отдельным подразделением не выделена и закреплена за президентом и сотрудниками коммерческого блока.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Приложение А. Соответствие задач индивидуального задания на практику и параграфов второй главы ВКР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Задача индивидуального задания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Срок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Параграф 2 главы ВКР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использовано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Описать организационно-экономическую характеристику предприятия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20.04 – 21.04.2026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Учредительные документы, выписка из ЕГРЮЛ, организационная структура, штатное расписание, отчётность за 2022–2024 гг.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Описать организацию экономической и маркетинговой деятельности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22.04 – 24.04.2026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Учётная политика, ценообразование, перечень каналов рекламно-информационной работы, оценка маркетинговых коммуникаций, виды спроса и тип маркетинга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Исследовать и описать коммерческую деятельность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27.04 – 30.04.2026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Установление контактов, договоры и контроль их исполнения, претензионная работа, сбытовая политика, конкурентоспособность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Исследовать и описать формирование ассортимента, оценку качества и маркировку продукции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04.05 – 07.05.2026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2.1 (часть) и 2.3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Номенклатура, показатели качества, ТУ, протоколы испытаний, патенты, требования ТР ТС 010/2011, сопроводительные документы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Подбор материала по теме ВКР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12.05 – 16.05.2026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2.3 и выводы по второй главе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Систематизация данных, расчёт условных значений CPL/CAC/ROMI, оценка по AIDA, перечень из 5 групп проблем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Приложение Б. Финансово-экономические показатели за 2022–2024 гг.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Показатель, тыс. руб.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2024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Выручка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6 200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5 605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375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Себестоимость продаж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3 800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3 450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375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Валовая прибыль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2 400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2 155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Чистая прибыль (убыток)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540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320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(180)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ССЧ, чел.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</w:tr>
    </w:tbl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>Источник: бухгалтерская отчётность Общества, открытые источники.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Приложение В. Перечень основной продукции и технологий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Группы оборудования: насос Астановского; теплообменный аппарат радиально-спирального типа; массообменный аппарат; каталитический реактор; компрессор Астановского; рекуператоры тепла; беспламенная горелка; блок аккумуляторов водорода; фильтр непрерывного действия для очистки воды.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Группы технологий: производство синтез-газа из углеводородного сырья; производство водорода; получение метанола из природного газа; получение синтетических жидких углеводородов из природного / попутного нефтяного газа; газификация твёрдых топлив (включая отходы); термическое обезвреживание сточных вод (в том числе для районов Арктики и Крайнего Севера); получение аммиака; очистка газовых выбросов от вредных компонентов; каталитическая очистка от CO и NOx; подготовка сырой нефти к транспорту; подготовка топливного газа; гидрогенизационная обработка нефтепродуктов; регенерация водометанольного раствора; извлечение CO₂ из отходящих газов.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sz w:val="28"/>
      </w:rPr>
      <w:fldChar w:fldCharType="begin"/>
      <w:instrText xml:space="preserve">PAGE  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