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Речь к защите выпускной квалификационной работы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Уважаемый председатель и уважаемые члены Государственной аттестационной комиссии!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Вашему вниманию представляется дипломная работа студента Костров на тему: «Перспективы применения интернет-технологий в коммерческой деятельности предприятий ЮЗАО г. Москвы и оценка эффективности предлагаемых концептуальных предложений».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Выбранная тема актуальна, поскольку коммерческая деятельность предприятий всё чаще переносится в цифровую среду. Интернет-каналы дают рост выручки, расширяют рынок и ускоряют продажи, но одновременно усиливают риски фрода, фишинга, утечек персональных данных и взаимодействия с недобросовестными контрагентами.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Объектом исследования выступают коммерческие организации ЮЗАО г. Москвы, использующие интернет-технологии в торгово-сбытовой деятельности. Предметом исследования являются перспективы применения интернет-технологий и экономико-управленческие отношения, возникающие при обеспечении экономической безопасности таких предприятий.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Цель работы — на основе исследования теории и практики применения интернет-технологий разработать комплекс концептуальных предложений по повышению эффективности коммерческой деятельности за счёт усиления экономической безопасности.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Для достижения цели были решены следующие задачи: раскрыты понятийные основы интернет-технологий в коммерции, рассмотрен отечественный и зарубежный опыт цифровых экосистем, дана характеристика роли ОЭБиПК УВД по ЮЗАО, проанализирована модельная группа предприятий П-1–П-5, рассчитаны показатели цифровой интенсивности и индекса цифрового доверия, предложены мероприятия и оценена их экономическая эффективность.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На третьем слайде показана логика исследования. Первая глава формирует теоретическую и методическую базу, вторая глава содержит анализ ОЭБиПК и предприятий ЮЗАО, третья глава посвящена рекомендациям и расчётам эффективности. В работе использованы методы анализа, сравнения, статистической и структурно-функциональной оценки, а также контент-анализ открытых источников и нормативной базы.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В аналитической части была сформирована модельная группа из пяти предприятий. П-1 представляет инжиниринг и торговлю оборудованием, П-2 — частный медицинский центр, П-3 — торговлю строительными материалами, П-4 — фермерский маркетплейс, П-5 — стоматологическую сеть. Их выручка за 2024 год находится в диапазоне от 37,2 до 284,1 млн рублей, а доля онлайн-канала — от 18,4 до 44,7 процента.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Анализ цифровой интенсивности показал, что максимальное значение коэффициента Kди имеет предприятие П-4 — 0,367. Это объясняется высокой долей онлайн-выручки и большим количеством онлайн-заказов. Минимальный показатель у П-3 — 0,057, что говорит о существенном потенциале дальнейшего развития интернет-каналов.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Отдельно была оценена защищённость интернет-каналов. Лучший результат по уровню реализации мер защиты показало П-4 — 85,7 процента, а наиболее уязвимым оказалось П-2 — 42,9 процента. Индекс цифрового доверия также максимален у П-4 и равен 0,86. У П-2 индекс составляет 0,43, что указывает на необходимость приоритетных мер по антифроду, проверке контрагентов и обучению персонала.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SWOT-обобщение позволило выделить сильные стороны интернет-технологий: расширение рынка, маркетплейсы, электронные платежи и рост онлайн-заказов. К слабым сторонам отнесены разрывы в цифровой зрелости и недостаточная кибергигиена. Возможности связаны с цифровым мониторингом, межведомственным обменом и применением аналитики, а угрозы — с фишингом, фродом, утечками данных и репутационными потерями.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В третьей главе предложен комплекс мероприятий из четырёх взаимосвязанных звеньев. Первое звено — профилактика: семинары для предпринимателей и курс «Кибергигиена для МСП». Второе — аналитика: обезличенные обзоры типовых схем и индивидуальные карты мероприятий. Третье — цифровой мониторинг на основе пяти индикаторов раннего реагирования. Четвёртое — межведомственный обмен между бизнесом, ЭБиПК, ФНС, Банком России и отраслевыми ассоциациями.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Экономическая эффективность рассчитана по модели «до/после». В базовом сценарии средняя онлайн-выручка по группе может вырасти с 48,3 до 63,7 млн рублей, доля онлайн-канала — с 27,4 до 39,8 процента, потери от фрода и фишинга — снизиться с 1,42 до 0,28 млн рублей в год, а время выявления подозрительной операции — с 36 до 4 часов.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Интегральный коэффициент экономической отдачи KEO в базовом сценарии равен 9,5. Это означает, что каждый рубль дополнительных затрат на предложенный комплекс мер способен принести около 9,5 рубля экономического результата. В оптимистическом сценарии KEO достигает 18,4.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Таким образом, цель выпускной квалификационной работы достигнута. Предложенные рекомендации позволяют одновременно развивать интернет-каналы коммерческих предприятий и снижать риски экономической безопасности. Практическая значимость работы состоит в возможности использования материалов ОЭБиПК УВД по ЮЗАО, коммерческими организациями округа и партнёрскими институтами поддержки предпринимательства.</w:t>
      </w:r>
    </w:p>
    <w:p>
      <w:pPr>
        <w:spacing w:line="360" w:lineRule="auto"/>
        <w:ind w:firstLine="720"/>
      </w:pPr>
      <w:r>
        <w:rPr>
          <w:rFonts w:ascii="Times New Roman" w:hAnsi="Times New Roman"/>
          <w:b w:val="0"/>
          <w:sz w:val="28"/>
        </w:rPr>
        <w:t>Доклад окончен. Спасибо за внимание, готов ответить на ваши вопросы.</w:t>
      </w:r>
    </w:p>
    <w:p>
      <w:pPr>
        <w:jc w:val="left"/>
      </w:pPr>
      <w:r>
        <w:rPr>
          <w:rFonts w:ascii="Times New Roman" w:hAnsi="Times New Roman"/>
          <w:i/>
          <w:sz w:val="24"/>
        </w:rPr>
        <w:br/>
        <w:t>Примечание: речь подготовлена по структуре исходного файла «речь.doc» и синхронизирована с 10 слайдами готовой презентации.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